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115 в сфере рекламы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по настройке платформы обратной связи (ПОС)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rFonts w:cs="Times New Roman"/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rFonts w:cs="Times New Roman"/>
              <w:b/>
              <w:bCs/>
              <w14:ligatures w14:val="standardContextual"/>
            </w:rPr>
          </w:sdtPr>
          <w:sdtContent>
            <w:p>
              <w:pPr>
                <w:pStyle w:val="873"/>
                <w:jc w:val="center"/>
                <w:rPr>
                  <w:rFonts w:cs="Times New Roman"/>
                  <w:lang w:val="ru-RU"/>
                </w:rPr>
              </w:pPr>
              <w:r/>
              <w:bookmarkStart w:id="0" w:name="_Toc216878172"/>
              <w:r/>
              <w:bookmarkStart w:id="1" w:name="_Toc216877103"/>
              <w:r/>
              <w:bookmarkStart w:id="2" w:name="_Hlk216878229"/>
              <w:r>
                <w:rPr>
                  <w:rFonts w:cs="Times New Roman"/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rFonts w:cs="Times New Roman"/>
                  <w:lang w:val="ru-RU"/>
                </w:rPr>
              </w:r>
              <w:r>
                <w:rPr>
                  <w:rFonts w:cs="Times New Roman"/>
                  <w:lang w:val="ru-RU"/>
                </w:rPr>
              </w:r>
            </w:p>
            <w:p>
              <w:pPr>
                <w:pStyle w:val="872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TOC \o "1-3" \h \z \u </w:instrTex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hyperlink w:tooltip="#_Toc216964623" w:anchor="_Toc216964623" w:history="1"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Термины и сокращения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_Toc216964623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2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4624" w:anchor="_Toc216964624" w:history="1"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Общая информация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_Toc216964624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5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2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4625" w:anchor="_Toc216964625" w:history="1"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Настройка классификатора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_Toc216964625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5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2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4626" w:anchor="_Toc216964626" w:history="1"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3.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Настройка автоправил ПОС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_Toc216964626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6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3"/>
                <w:rPr>
                  <w:rFonts w:cs="Times New Roman"/>
                </w:rPr>
              </w:pPr>
              <w:r>
                <w:rPr>
                  <w:rFonts w:cs="Times New Roman"/>
                  <w:b/>
                  <w:bCs/>
                </w:rPr>
                <w:fldChar w:fldCharType="end"/>
              </w:r>
              <w:bookmarkEnd w:id="2"/>
              <w:r>
                <w:rPr>
                  <w:rFonts w:cs="Times New Roman"/>
                </w:rPr>
              </w:r>
              <w:r>
                <w:rPr>
                  <w:rFonts w:cs="Times New Roman"/>
                </w:rPr>
              </w:r>
            </w:p>
          </w:sdtContent>
        </w:sdt>
      </w:sdtContent>
    </w:sdt>
    <w:p>
      <w:pPr>
        <w:rPr>
          <w:rFonts w:ascii="Times New Roman" w:hAnsi="Times New Roman" w:cs="Times New Roman" w:eastAsiaTheme="majorEastAsia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 w:eastAsiaTheme="majorEastAsia"/>
          <w:b/>
          <w:bCs/>
        </w:rPr>
      </w:r>
      <w:r>
        <w:rPr>
          <w:rFonts w:ascii="Times New Roman" w:hAnsi="Times New Roman" w:cs="Times New Roman" w:eastAsiaTheme="majorEastAsia"/>
          <w:b/>
          <w:bCs/>
        </w:rPr>
      </w:r>
    </w:p>
    <w:p>
      <w:pPr>
        <w:pStyle w:val="676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3" w:name="_Toc21696462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1"/>
      <w:r/>
      <w:bookmarkEnd w:id="0"/>
      <w:r/>
      <w:bookmarkEnd w:id="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71"/>
        <w:tblW w:w="5000" w:type="pct"/>
        <w:tblLook w:val="04A0" w:firstRow="1" w:lastRow="0" w:firstColumn="1" w:lastColumn="0" w:noHBand="0" w:noVBand="1"/>
      </w:tblPr>
      <w:tblGrid>
        <w:gridCol w:w="2855"/>
        <w:gridCol w:w="649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Подсистема обратной связи — функциональность федеральной государственной информационной системы «Единый портал государственных и муниципальных услуг (функций)» в части единого окна цифровой обратной связи (платформы обратной связи)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Классификатор</w:t>
            </w:r>
            <w:r>
              <w:rPr>
                <w:rFonts w:ascii="Times New Roman" w:hAnsi="Times New Roman" w:cs="Times New Roman"/>
              </w:rPr>
              <w:t xml:space="preserve"> ПОС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Личный кабинет органа или организации</w:t>
            </w:r>
            <w:r>
              <w:rPr>
                <w:rFonts w:ascii="Times New Roman" w:hAnsi="Times New Roman" w:cs="Times New Roman"/>
              </w:rPr>
              <w:t xml:space="preserve"> ‒ с</w:t>
            </w:r>
            <w:r>
              <w:rPr>
                <w:rFonts w:ascii="Times New Roman" w:hAnsi="Times New Roman" w:cs="Times New Roman"/>
              </w:rPr>
              <w:t xml:space="preserve">истематизированный перечень категорий, подкатегорий и фактов ПОС с группировкой фактов по подкатегориям и подкатегорий по категориям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Личный кабинет органа или организации (</w:t>
            </w:r>
            <w:r>
              <w:rPr>
                <w:rFonts w:ascii="Times New Roman" w:hAnsi="Times New Roman" w:cs="Times New Roman"/>
              </w:rPr>
              <w:t xml:space="preserve">ЛКО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Специальный раздел ПОС, который позволяет получить доступ к функциям и данным ПОС в соответствии с выполненными настройкам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Автоправило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</w:t>
            </w:r>
            <w:r>
              <w:rPr>
                <w:rFonts w:ascii="Times New Roman" w:hAnsi="Times New Roman" w:cs="Times New Roman"/>
              </w:rPr>
              <w:t xml:space="preserve">то правило, создаваемое в разделе «Настройки ЛКО» на вкладке «Настройки </w:t>
            </w:r>
            <w:r>
              <w:rPr>
                <w:rFonts w:ascii="Times New Roman" w:hAnsi="Times New Roman" w:cs="Times New Roman"/>
              </w:rPr>
              <w:t xml:space="preserve">автоправил</w:t>
            </w:r>
            <w:r>
              <w:rPr>
                <w:rFonts w:ascii="Times New Roman" w:hAnsi="Times New Roman" w:cs="Times New Roman"/>
              </w:rPr>
              <w:t xml:space="preserve">», которое обеспечивает автоматическую маршрутизацию и обработку обращений, поступающих от форм ЕПГУ в родительск</w:t>
            </w:r>
            <w:r>
              <w:rPr>
                <w:rFonts w:ascii="Times New Roman" w:hAnsi="Times New Roman" w:cs="Times New Roman"/>
              </w:rPr>
              <w:t xml:space="preserve">ий ЛКО. Оно применяется к сообщениям, параметры которых соответствуют заданным условиям, и выполняет одно из двух действий: автоматически направляет сообщение в дочернюю организацию или автоматически заполняет параметры для его последующей ручной отправки.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Направленные в государственный орган, орган местного самоуправления или должностному лицу в электронной форме предложение, заявление, жалоба гражданина Российской Федерации, поступившие в Систему, а также поступившее в Систему в электронной форме сообщение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ОМСУ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Роли пользователей (в ФГИС ПГС)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прав и полномочий, определяющих возможности работы в системе (например, Координатор, Администратор, Специалист, Инспектор).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</w:t>
            </w:r>
            <w:r>
              <w:rPr>
                <w:rFonts w:ascii="Times New Roman" w:hAnsi="Times New Roman" w:cs="Times New Roman"/>
              </w:rPr>
              <w:t xml:space="preserve">) услуги, либо исполняемой функции в виде структурированного файла установленного формата, включающего в себя схему бизнес-процесса, ссылки на шаблоны документов, атрибутивный состав реестровой записи и иные данные, необходимые для оказания услуги, либо ис</w:t>
            </w:r>
            <w:r>
              <w:rPr>
                <w:rFonts w:ascii="Times New Roman" w:hAnsi="Times New Roman" w:cs="Times New Roman"/>
              </w:rPr>
              <w:t xml:space="preserve">полнения функции в электронном виде в соответствии с административным регламентом либо иным установленным порядком. В результате инициированной действиями пользователей обработки системными средствами ФГИС ПГС заложенных в стандарте алгоритмов и процедур, </w:t>
            </w:r>
            <w:r>
              <w:rPr>
                <w:rFonts w:ascii="Times New Roman" w:hAnsi="Times New Roman" w:cs="Times New Roman"/>
              </w:rPr>
              <w:t xml:space="preserve">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необходимости решения актуальных для гражданина проблем, не адресованная в конкретный государственный орган, орган местного самоуправления или должностному лицу, направленная гражданином в форме электронного документа и поступившая в Систему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 w:clear="all"/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76"/>
        <w:numPr>
          <w:ilvl w:val="0"/>
          <w:numId w:val="6"/>
        </w:numPr>
        <w:ind w:left="0" w:firstLine="284"/>
        <w:jc w:val="center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4" w:name="_Toc216877104"/>
      <w:r/>
      <w:bookmarkStart w:id="5" w:name="_Toc216878173"/>
      <w:r/>
      <w:bookmarkStart w:id="6" w:name="_Toc21696462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4"/>
      <w:r/>
      <w:bookmarkEnd w:id="5"/>
      <w:r/>
      <w:bookmarkEnd w:id="6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4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64"/>
        <w:numPr>
          <w:ilvl w:val="1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В связи с запуском услуг «Жалоба на торговый объект» и «Жалоба на рекламную конструкцию» регионам необходимо выполнить ряд настроек в Платформе обратной связи (далее – «ПОС»).</w:t>
      </w:r>
      <w:r>
        <w:rPr>
          <w:rFonts w:ascii="Times New Roman" w:hAnsi="Times New Roman" w:cs="Times New Roman"/>
          <w:color w:val="000000" w:themeColor="text1"/>
        </w:rPr>
        <w:t xml:space="preserve"> Настоящий порядок определяет последовательность действий по настройке ПОС.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76"/>
        <w:numPr>
          <w:ilvl w:val="0"/>
          <w:numId w:val="6"/>
        </w:numPr>
        <w:ind w:left="0" w:firstLine="851"/>
        <w:jc w:val="center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7" w:name="_Toc21696462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Настройка классификатора</w:t>
      </w:r>
      <w:bookmarkEnd w:id="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4"/>
        <w:ind w:left="0" w:firstLine="85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4"/>
        <w:numPr>
          <w:ilvl w:val="1"/>
          <w:numId w:val="6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Для обработки обращений необходимо самостоятельно добавить соответствующую тематику в классификатор ЛКО (категорию 958 – общую к</w:t>
      </w:r>
      <w:r>
        <w:rPr>
          <w:rFonts w:ascii="Times New Roman" w:hAnsi="Times New Roman" w:cs="Times New Roman"/>
        </w:rPr>
        <w:t xml:space="preserve">атегорию, используемую для обращений по торговле и рекламе). Полный классификатор по этой тематике прилагаем отдельным приложением к данной инструкции. Срок обработки обращений по категории и доступным подкатегориям, фактам составляет 30 календарных дней.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Настройка выполняется администратором ЛКО, обрабатывающим обращения на следующих уровнях: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правительство региона;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органы местного самоуправления (ОМСУ). Подробная инструкция расположена по ссылке: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/>
      <w:hyperlink r:id="rId9" w:tooltip="https://pos.gosuslugi.ru/docs/main/docs/Руководство_администратора.pdf" w:history="1">
        <w:r>
          <w:rPr>
            <w:rStyle w:val="869"/>
            <w:rFonts w:ascii="Times New Roman" w:hAnsi="Times New Roman" w:cs="Times New Roman"/>
          </w:rPr>
          <w:t xml:space="preserve">https://pos.gosuslugi.ru/docs/main/docs/Руководство_администратора.pdf</w:t>
        </w:r>
      </w:hyperlink>
      <w:r>
        <w:rPr>
          <w:rFonts w:ascii="Times New Roman" w:hAnsi="Times New Roman" w:cs="Times New Roman"/>
        </w:rPr>
        <w:t xml:space="preserve"> (стр. 24)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71"/>
        <w:tblW w:w="10206" w:type="dxa"/>
        <w:jc w:val="center"/>
        <w:tblLook w:val="04A0" w:firstRow="1" w:lastRow="0" w:firstColumn="1" w:lastColumn="0" w:noHBand="0" w:noVBand="1"/>
      </w:tblPr>
      <w:tblGrid>
        <w:gridCol w:w="1245"/>
        <w:gridCol w:w="2420"/>
        <w:gridCol w:w="1593"/>
        <w:gridCol w:w="2134"/>
        <w:gridCol w:w="851"/>
        <w:gridCol w:w="1963"/>
      </w:tblGrid>
      <w:tr>
        <w:tblPrEx/>
        <w:trPr>
          <w:jc w:val="center"/>
          <w:trHeight w:val="600"/>
        </w:trPr>
        <w:tc>
          <w:tcPr>
            <w:shd w:val="clear" w:color="auto" w:fill="dae9f7" w:themeFill="text2" w:themeFillTint="1A"/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ID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Категория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ID подкатегории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Подкатегория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ID факта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  <w:t xml:space="preserve">Факт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702"/>
        </w:trPr>
        <w:tc>
          <w:tcPr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958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Обращения с форм по вопросам торговли, рекламы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3519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Нестационарная торговля (киоски, павильоны, сезонная торговля)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8642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Нестационарная торговля (киоски, павильоны, сезонная торговля)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462"/>
        </w:trPr>
        <w:tc>
          <w:tcPr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958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Обращения с форм по вопросам торговли, рекламы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3520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Розничные рынки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8643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Розничные рынки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582"/>
        </w:trPr>
        <w:tc>
          <w:tcPr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958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Обращения с форм по вопросам торговли, рекламы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3521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Ярмарки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8644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Ярмарки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559"/>
        </w:trPr>
        <w:tc>
          <w:tcPr>
            <w:tcW w:w="116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958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Обращения с форм по вопросам торговли, рекламы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5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3522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Жалобы на рекламу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8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8645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  <w:t xml:space="preserve">Наружная реклама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r>
          </w:p>
        </w:tc>
      </w:tr>
    </w:tbl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6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8" w:name="_Toc216964626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Настройка автоправил ПОС</w:t>
      </w:r>
      <w:bookmarkEnd w:id="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Для того, чтобы обращения из правительства региона автоматически маршрутизировалось в органы местного самоуправления необходимо настроить </w:t>
      </w:r>
      <w:r>
        <w:rPr>
          <w:rFonts w:ascii="Times New Roman" w:hAnsi="Times New Roman" w:cs="Times New Roman"/>
        </w:rPr>
        <w:t xml:space="preserve">автоправила</w:t>
      </w:r>
      <w:r>
        <w:rPr>
          <w:rFonts w:ascii="Times New Roman" w:hAnsi="Times New Roman" w:cs="Times New Roman"/>
        </w:rPr>
        <w:t xml:space="preserve"> в ПОС.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Инструкция по настройке автоправил размещена по ссылке (документ – «Руководство администратора»): </w:t>
      </w:r>
      <w:hyperlink r:id="rId10" w:tooltip="https://pos.gosuslugi.ru/og/docs/category/27?page=2&amp;per-page=10&quot; \l &quot;n" w:history="1">
        <w:r>
          <w:rPr>
            <w:rStyle w:val="869"/>
            <w:rFonts w:ascii="Times New Roman" w:hAnsi="Times New Roman" w:cs="Times New Roman"/>
          </w:rPr>
          <w:t xml:space="preserve">https://pos.gosuslugi.ru/og/docs/category/27?page=2&amp;per-page=10#n</w:t>
        </w:r>
      </w:hyperlink>
      <w:r>
        <w:rPr>
          <w:rFonts w:ascii="Times New Roman" w:hAnsi="Times New Roman" w:cs="Times New Roman"/>
        </w:rPr>
        <w:t xml:space="preserve">  (стр. 28)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При настройки автоправил используйте наименование уполномоченного органа, которое вы указывали в справочнике «REGION_MUNICIPAL2025»: </w:t>
      </w:r>
      <w:hyperlink r:id="rId11" w:tooltip="https://esnsi.gosuslugi.ru/classifiers/21590/data?p=1&amp;q=REGION_MUNICIPAL2025" w:history="1">
        <w:r>
          <w:rPr>
            <w:rStyle w:val="869"/>
            <w:rFonts w:ascii="Times New Roman" w:hAnsi="Times New Roman" w:cs="Times New Roman"/>
          </w:rPr>
          <w:t xml:space="preserve">https://esnsi.gosuslugi.ru/classifiers/21590/data?p=1&amp;q=REGION_MUNICIPAL2025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Если в справочник «REGION_MUNICIPAL2025» были внесены изменения (добавлено или изменено наименование ОМСУ):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услугах «Жалоба на рекламную конструкцию» и «Жалоба на торговый объект» новое наименование отобразится автоматически;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 изменения не применяются автоматически.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Чтобы изменения вступили в силу: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64"/>
        <w:numPr>
          <w:ilvl w:val="0"/>
          <w:numId w:val="2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Зайдите в платформу ПОС;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2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Перейдите в данные об ЛКО администрации региона → раздел «Настройки автоправил»;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2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Найдите </w:t>
      </w:r>
      <w:r>
        <w:rPr>
          <w:rFonts w:ascii="Times New Roman" w:hAnsi="Times New Roman" w:cs="Times New Roman"/>
        </w:rPr>
        <w:t xml:space="preserve">автоправило</w:t>
      </w:r>
      <w:r>
        <w:rPr>
          <w:rFonts w:ascii="Times New Roman" w:hAnsi="Times New Roman" w:cs="Times New Roman"/>
        </w:rPr>
        <w:t xml:space="preserve"> с изменившимся ОМСУ;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2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Замените старое значение поля «Имя» на новое из справочника ЕСНСИ.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Если форма отправляет новое наименование ОМСУ, а </w:t>
      </w:r>
      <w:r>
        <w:rPr>
          <w:rFonts w:ascii="Times New Roman" w:hAnsi="Times New Roman" w:cs="Times New Roman"/>
          <w:b/>
          <w:bCs/>
        </w:rPr>
        <w:t xml:space="preserve">автоправило</w:t>
      </w:r>
      <w:r>
        <w:rPr>
          <w:rFonts w:ascii="Times New Roman" w:hAnsi="Times New Roman" w:cs="Times New Roman"/>
          <w:b/>
          <w:bCs/>
        </w:rPr>
        <w:t xml:space="preserve"> в ПОС не обновлено, то: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64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Автоправило не сработает;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Сообщение останется на рассмотрении в администрации региона;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numPr>
          <w:ilvl w:val="0"/>
          <w:numId w:val="3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Переадресация в ОМСУ потребуется вручную.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1">
    <w:name w:val="Header Char"/>
    <w:basedOn w:val="685"/>
    <w:link w:val="702"/>
    <w:uiPriority w:val="99"/>
  </w:style>
  <w:style w:type="character" w:styleId="672">
    <w:name w:val="Caption Char"/>
    <w:basedOn w:val="706"/>
    <w:link w:val="704"/>
    <w:uiPriority w:val="99"/>
  </w:style>
  <w:style w:type="character" w:styleId="673">
    <w:name w:val="Footnote Text Char"/>
    <w:link w:val="833"/>
    <w:uiPriority w:val="99"/>
    <w:rPr>
      <w:sz w:val="18"/>
    </w:rPr>
  </w:style>
  <w:style w:type="character" w:styleId="674">
    <w:name w:val="Endnote Text Char"/>
    <w:link w:val="836"/>
    <w:uiPriority w:val="99"/>
    <w:rPr>
      <w:sz w:val="20"/>
    </w:rPr>
  </w:style>
  <w:style w:type="paragraph" w:styleId="675" w:default="1">
    <w:name w:val="Normal"/>
    <w:qFormat/>
  </w:style>
  <w:style w:type="paragraph" w:styleId="676">
    <w:name w:val="Heading 1"/>
    <w:basedOn w:val="675"/>
    <w:next w:val="675"/>
    <w:link w:val="849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77">
    <w:name w:val="Heading 2"/>
    <w:basedOn w:val="675"/>
    <w:next w:val="675"/>
    <w:link w:val="850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78">
    <w:name w:val="Heading 3"/>
    <w:basedOn w:val="675"/>
    <w:next w:val="675"/>
    <w:link w:val="851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79">
    <w:name w:val="Heading 4"/>
    <w:basedOn w:val="675"/>
    <w:next w:val="675"/>
    <w:link w:val="852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80">
    <w:name w:val="Heading 5"/>
    <w:basedOn w:val="675"/>
    <w:next w:val="675"/>
    <w:link w:val="853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81">
    <w:name w:val="Heading 6"/>
    <w:basedOn w:val="675"/>
    <w:next w:val="675"/>
    <w:link w:val="854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82">
    <w:name w:val="Heading 7"/>
    <w:basedOn w:val="675"/>
    <w:next w:val="675"/>
    <w:link w:val="855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83">
    <w:name w:val="Heading 8"/>
    <w:basedOn w:val="675"/>
    <w:next w:val="675"/>
    <w:link w:val="856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84">
    <w:name w:val="Heading 9"/>
    <w:basedOn w:val="675"/>
    <w:next w:val="675"/>
    <w:link w:val="857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 w:customStyle="1">
    <w:name w:val="Heading 1 Char"/>
    <w:basedOn w:val="685"/>
    <w:uiPriority w:val="9"/>
    <w:rPr>
      <w:rFonts w:ascii="Arial" w:hAnsi="Arial" w:eastAsia="Arial" w:cs="Arial"/>
      <w:sz w:val="40"/>
      <w:szCs w:val="40"/>
    </w:rPr>
  </w:style>
  <w:style w:type="character" w:styleId="689" w:customStyle="1">
    <w:name w:val="Heading 2 Char"/>
    <w:basedOn w:val="685"/>
    <w:uiPriority w:val="9"/>
    <w:rPr>
      <w:rFonts w:ascii="Arial" w:hAnsi="Arial" w:eastAsia="Arial" w:cs="Arial"/>
      <w:sz w:val="34"/>
    </w:rPr>
  </w:style>
  <w:style w:type="character" w:styleId="690" w:customStyle="1">
    <w:name w:val="Heading 3 Char"/>
    <w:basedOn w:val="685"/>
    <w:uiPriority w:val="9"/>
    <w:rPr>
      <w:rFonts w:ascii="Arial" w:hAnsi="Arial" w:eastAsia="Arial" w:cs="Arial"/>
      <w:sz w:val="30"/>
      <w:szCs w:val="30"/>
    </w:rPr>
  </w:style>
  <w:style w:type="character" w:styleId="691" w:customStyle="1">
    <w:name w:val="Heading 4 Char"/>
    <w:basedOn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Heading 5 Char"/>
    <w:basedOn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Heading 6 Char"/>
    <w:basedOn w:val="685"/>
    <w:uiPriority w:val="9"/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Heading 7 Char"/>
    <w:basedOn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Heading 8 Char"/>
    <w:basedOn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Heading 9 Char"/>
    <w:basedOn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No Spacing"/>
    <w:uiPriority w:val="1"/>
    <w:qFormat/>
    <w:pPr>
      <w:spacing w:after="0" w:line="240" w:lineRule="auto"/>
    </w:pPr>
  </w:style>
  <w:style w:type="character" w:styleId="698" w:customStyle="1">
    <w:name w:val="Title Char"/>
    <w:basedOn w:val="685"/>
    <w:uiPriority w:val="10"/>
    <w:rPr>
      <w:sz w:val="48"/>
      <w:szCs w:val="48"/>
    </w:rPr>
  </w:style>
  <w:style w:type="character" w:styleId="699" w:customStyle="1">
    <w:name w:val="Subtitle Char"/>
    <w:basedOn w:val="685"/>
    <w:uiPriority w:val="11"/>
    <w:rPr>
      <w:sz w:val="24"/>
      <w:szCs w:val="24"/>
    </w:rPr>
  </w:style>
  <w:style w:type="character" w:styleId="700" w:customStyle="1">
    <w:name w:val="Quote Char"/>
    <w:uiPriority w:val="29"/>
    <w:rPr>
      <w:i/>
    </w:rPr>
  </w:style>
  <w:style w:type="character" w:styleId="701" w:customStyle="1">
    <w:name w:val="Intense Quote Char"/>
    <w:uiPriority w:val="30"/>
    <w:rPr>
      <w:i/>
    </w:rPr>
  </w:style>
  <w:style w:type="paragraph" w:styleId="702">
    <w:name w:val="Header"/>
    <w:basedOn w:val="675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85"/>
    <w:link w:val="702"/>
    <w:uiPriority w:val="99"/>
  </w:style>
  <w:style w:type="paragraph" w:styleId="704">
    <w:name w:val="Footer"/>
    <w:basedOn w:val="675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basedOn w:val="685"/>
    <w:uiPriority w:val="99"/>
  </w:style>
  <w:style w:type="paragraph" w:styleId="706">
    <w:name w:val="Caption"/>
    <w:basedOn w:val="675"/>
    <w:next w:val="675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styleId="707" w:customStyle="1">
    <w:name w:val="Нижний колонтитул Знак"/>
    <w:link w:val="704"/>
    <w:uiPriority w:val="99"/>
  </w:style>
  <w:style w:type="table" w:styleId="708" w:customStyle="1">
    <w:name w:val="Table Grid Light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</w:tcBorders>
      </w:tcPr>
    </w:tblStylePr>
  </w:style>
  <w:style w:type="table" w:styleId="737" w:customStyle="1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2AA85" w:themeColor="accent2" w:themeTint="97" w:sz="4" w:space="0"/>
        </w:tcBorders>
      </w:tcPr>
    </w:tblStylePr>
  </w:style>
  <w:style w:type="table" w:styleId="738" w:customStyle="1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</w:tcBorders>
      </w:tcPr>
    </w:tblStylePr>
  </w:style>
  <w:style w:type="table" w:styleId="739" w:customStyle="1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</w:tcBorders>
      </w:tcPr>
    </w:tblStylePr>
  </w:style>
  <w:style w:type="table" w:styleId="740" w:customStyle="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</w:tcBorders>
      </w:tcPr>
    </w:tblStylePr>
  </w:style>
  <w:style w:type="table" w:styleId="741" w:customStyle="1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</w:tcBorders>
      </w:tcPr>
    </w:tblStylePr>
  </w:style>
  <w:style w:type="table" w:styleId="742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b/>
        <w:color w:val="63bde6" w:themeColor="accent1" w:themeTint="80" w:themeShade="95"/>
      </w:rPr>
    </w:tblStylePr>
    <w:tblStylePr w:type="firstRow">
      <w:rPr>
        <w:b/>
        <w:color w:val="63bde6" w:themeColor="accent1" w:themeTint="80" w:themeShade="95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</w:tblStylePr>
    <w:tblStylePr w:type="lastRow">
      <w:rPr>
        <w:b/>
        <w:color w:val="63bde6" w:themeColor="accent1" w:themeTint="80" w:themeShade="95"/>
      </w:rPr>
    </w:tblStylePr>
  </w:style>
  <w:style w:type="table" w:styleId="751" w:customStyle="1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</w:tblStylePr>
  </w:style>
  <w:style w:type="table" w:styleId="752" w:customStyle="1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b/>
        <w:color w:val="196c24" w:themeColor="accent3" w:themeTint="FE" w:themeShade="95"/>
      </w:rPr>
    </w:tblStylePr>
    <w:tblStylePr w:type="firstRow">
      <w:rPr>
        <w:b/>
        <w:color w:val="196c24" w:themeColor="accent3" w:themeTint="FE" w:themeShade="95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</w:tblStylePr>
    <w:tblStylePr w:type="lastRow">
      <w:rPr>
        <w:b/>
        <w:color w:val="196c24" w:themeColor="accent3" w:themeTint="FE" w:themeShade="95"/>
      </w:rPr>
    </w:tblStylePr>
  </w:style>
  <w:style w:type="table" w:styleId="753" w:customStyle="1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</w:tblStylePr>
  </w:style>
  <w:style w:type="table" w:styleId="754" w:customStyle="1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55" w:customStyle="1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56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3BDE6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3BDE6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96C24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196C24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A76C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DA76C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2d611b" w:themeColor="accent6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4DA7B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94DA7B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8d45b" w:themeColor="accent3" w:themeTint="98" w:fill="48d45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76ccb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d873" w:themeColor="accent6" w:themeTint="98" w:fill="8e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b/>
        <w:color w:val="0c374b" w:themeColor="accent1" w:themeShade="95"/>
      </w:rPr>
    </w:tblStylePr>
    <w:tblStylePr w:type="firstRow">
      <w:rPr>
        <w:b/>
        <w:color w:val="0c374b" w:themeColor="accent1" w:themeShade="95"/>
      </w:r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</w:tblStylePr>
    <w:tblStylePr w:type="lastRow">
      <w:rPr>
        <w:b/>
        <w:color w:val="0c374b" w:themeColor="accent1" w:themeShade="95"/>
      </w:rPr>
      <w:tcPr>
        <w:tcBorders>
          <w:top w:val="single" w:color="156082" w:themeColor="accent1" w:sz="4" w:space="0"/>
        </w:tcBorders>
      </w:tcPr>
    </w:tblStylePr>
  </w:style>
  <w:style w:type="table" w:styleId="800" w:customStyle="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  <w:tcPr>
        <w:tcBorders>
          <w:top w:val="single" w:color="F2AA85" w:themeColor="accent2" w:themeTint="97" w:sz="4" w:space="0"/>
        </w:tcBorders>
      </w:tcPr>
    </w:tblStylePr>
  </w:style>
  <w:style w:type="table" w:styleId="801" w:customStyle="1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b/>
        <w:color w:val="48d45b" w:themeColor="accent3" w:themeTint="98" w:themeShade="95"/>
      </w:rPr>
    </w:tblStylePr>
    <w:tblStylePr w:type="firstRow">
      <w:rPr>
        <w:b/>
        <w:color w:val="48d45b" w:themeColor="accent3" w:themeTint="98" w:themeShade="95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</w:tblStylePr>
    <w:tblStylePr w:type="lastRow">
      <w:rPr>
        <w:b/>
        <w:color w:val="48d45b" w:themeColor="accent3" w:themeTint="98" w:themeShade="95"/>
      </w:rPr>
      <w:tcPr>
        <w:tcBorders>
          <w:top w:val="single" w:color="48D45B" w:themeColor="accent3" w:themeTint="98" w:sz="4" w:space="0"/>
        </w:tcBorders>
      </w:tcPr>
    </w:tblStylePr>
  </w:style>
  <w:style w:type="table" w:styleId="802" w:customStyle="1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  <w:tcPr>
        <w:tcBorders>
          <w:top w:val="single" w:color="5FCAF3" w:themeColor="accent4" w:themeTint="9A" w:sz="4" w:space="0"/>
        </w:tcBorders>
      </w:tcPr>
    </w:tblStylePr>
  </w:style>
  <w:style w:type="table" w:styleId="803" w:customStyle="1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b/>
        <w:color w:val="d76ccb" w:themeColor="accent5" w:themeTint="9A" w:themeShade="95"/>
      </w:rPr>
    </w:tblStylePr>
    <w:tblStylePr w:type="firstRow">
      <w:rPr>
        <w:b/>
        <w:color w:val="d76ccb" w:themeColor="accent5" w:themeTint="9A" w:themeShade="95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</w:tblStylePr>
    <w:tblStylePr w:type="lastRow">
      <w:rPr>
        <w:b/>
        <w:color w:val="d76ccb" w:themeColor="accent5" w:themeTint="9A" w:themeShade="95"/>
      </w:rPr>
      <w:tcPr>
        <w:tcBorders>
          <w:top w:val="single" w:color="D76CCB" w:themeColor="accent5" w:themeTint="9A" w:sz="4" w:space="0"/>
        </w:tcBorders>
      </w:tcPr>
    </w:tblStylePr>
  </w:style>
  <w:style w:type="table" w:styleId="804" w:customStyle="1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b/>
        <w:color w:val="8ed873" w:themeColor="accent6" w:themeTint="98" w:themeShade="95"/>
      </w:rPr>
    </w:tblStylePr>
    <w:tblStylePr w:type="firstRow">
      <w:rPr>
        <w:b/>
        <w:color w:val="8ed873" w:themeColor="accent6" w:themeTint="98" w:themeShade="95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</w:tblStylePr>
    <w:tblStylePr w:type="lastRow">
      <w:rPr>
        <w:b/>
        <w:color w:val="8ed873" w:themeColor="accent6" w:themeTint="98" w:themeShade="95"/>
      </w:rPr>
      <w:tcPr>
        <w:tcBorders>
          <w:top w:val="single" w:color="8ED873" w:themeColor="accent6" w:themeTint="98" w:sz="4" w:space="0"/>
        </w:tcBorders>
      </w:tcPr>
    </w:tblStylePr>
  </w:style>
  <w:style w:type="table" w:styleId="805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56082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56082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8D45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48D45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76CC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D76CC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ED873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8ED873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14" w:customStyle="1">
    <w:name w:val="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15" w:customStyle="1">
    <w:name w:val="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16" w:customStyle="1">
    <w:name w:val="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17" w:customStyle="1">
    <w:name w:val="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18" w:customStyle="1">
    <w:name w:val="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19" w:customStyle="1">
    <w:name w:val="Bordered &amp; 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21" w:customStyle="1">
    <w:name w:val="Bordered &amp; 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22" w:customStyle="1">
    <w:name w:val="Bordered &amp; 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23" w:customStyle="1">
    <w:name w:val="Bordered &amp; 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24" w:customStyle="1">
    <w:name w:val="Bordered &amp; 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25" w:customStyle="1">
    <w:name w:val="Bordered &amp; 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26" w:customStyle="1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56082" w:themeColor="accent1" w:sz="12" w:space="0"/>
        </w:tcBorders>
      </w:tcPr>
    </w:tblStylePr>
  </w:style>
  <w:style w:type="table" w:styleId="828" w:customStyle="1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2AA85" w:themeColor="accent2" w:themeTint="97" w:sz="12" w:space="0"/>
        </w:tcBorders>
      </w:tcPr>
    </w:tblStylePr>
  </w:style>
  <w:style w:type="table" w:styleId="829" w:customStyle="1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D45B" w:themeColor="accent3" w:themeTint="98" w:sz="12" w:space="0"/>
        </w:tcBorders>
      </w:tcPr>
    </w:tblStylePr>
  </w:style>
  <w:style w:type="table" w:styleId="830" w:customStyle="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FCAF3" w:themeColor="accent4" w:themeTint="9A" w:sz="12" w:space="0"/>
        </w:tcBorders>
      </w:tcPr>
    </w:tblStylePr>
  </w:style>
  <w:style w:type="table" w:styleId="831" w:customStyle="1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76CCB" w:themeColor="accent5" w:themeTint="9A" w:sz="12" w:space="0"/>
        </w:tcBorders>
      </w:tcPr>
    </w:tblStylePr>
  </w:style>
  <w:style w:type="table" w:styleId="832" w:customStyle="1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D873" w:themeColor="accent6" w:themeTint="98" w:sz="12" w:space="0"/>
        </w:tcBorders>
      </w:tcPr>
    </w:tblStylePr>
  </w:style>
  <w:style w:type="paragraph" w:styleId="833">
    <w:name w:val="footnote text"/>
    <w:basedOn w:val="675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 w:customStyle="1">
    <w:name w:val="Текст сноски Знак"/>
    <w:link w:val="833"/>
    <w:uiPriority w:val="99"/>
    <w:rPr>
      <w:sz w:val="18"/>
    </w:rPr>
  </w:style>
  <w:style w:type="character" w:styleId="835">
    <w:name w:val="footnote reference"/>
    <w:basedOn w:val="685"/>
    <w:uiPriority w:val="99"/>
    <w:unhideWhenUsed/>
    <w:rPr>
      <w:vertAlign w:val="superscript"/>
    </w:rPr>
  </w:style>
  <w:style w:type="paragraph" w:styleId="836">
    <w:name w:val="endnote text"/>
    <w:basedOn w:val="675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 w:customStyle="1">
    <w:name w:val="Текст концевой сноски Знак"/>
    <w:link w:val="836"/>
    <w:uiPriority w:val="99"/>
    <w:rPr>
      <w:sz w:val="20"/>
    </w:rPr>
  </w:style>
  <w:style w:type="character" w:styleId="838">
    <w:name w:val="endnote reference"/>
    <w:basedOn w:val="685"/>
    <w:uiPriority w:val="99"/>
    <w:semiHidden/>
    <w:unhideWhenUsed/>
    <w:rPr>
      <w:vertAlign w:val="superscript"/>
    </w:rPr>
  </w:style>
  <w:style w:type="paragraph" w:styleId="839">
    <w:name w:val="toc 2"/>
    <w:basedOn w:val="675"/>
    <w:next w:val="675"/>
    <w:uiPriority w:val="39"/>
    <w:unhideWhenUsed/>
    <w:pPr>
      <w:ind w:left="283"/>
      <w:spacing w:after="57"/>
    </w:pPr>
  </w:style>
  <w:style w:type="paragraph" w:styleId="840">
    <w:name w:val="toc 3"/>
    <w:basedOn w:val="675"/>
    <w:next w:val="675"/>
    <w:uiPriority w:val="39"/>
    <w:unhideWhenUsed/>
    <w:pPr>
      <w:ind w:left="567"/>
      <w:spacing w:after="57"/>
    </w:pPr>
  </w:style>
  <w:style w:type="paragraph" w:styleId="841">
    <w:name w:val="toc 4"/>
    <w:basedOn w:val="675"/>
    <w:next w:val="675"/>
    <w:uiPriority w:val="39"/>
    <w:unhideWhenUsed/>
    <w:pPr>
      <w:ind w:left="850"/>
      <w:spacing w:after="57"/>
    </w:pPr>
  </w:style>
  <w:style w:type="paragraph" w:styleId="842">
    <w:name w:val="toc 5"/>
    <w:basedOn w:val="675"/>
    <w:next w:val="675"/>
    <w:uiPriority w:val="39"/>
    <w:unhideWhenUsed/>
    <w:pPr>
      <w:ind w:left="1134"/>
      <w:spacing w:after="57"/>
    </w:pPr>
  </w:style>
  <w:style w:type="paragraph" w:styleId="843">
    <w:name w:val="toc 6"/>
    <w:basedOn w:val="675"/>
    <w:next w:val="675"/>
    <w:uiPriority w:val="39"/>
    <w:unhideWhenUsed/>
    <w:pPr>
      <w:ind w:left="1417"/>
      <w:spacing w:after="57"/>
    </w:pPr>
  </w:style>
  <w:style w:type="paragraph" w:styleId="844">
    <w:name w:val="toc 7"/>
    <w:basedOn w:val="675"/>
    <w:next w:val="675"/>
    <w:uiPriority w:val="39"/>
    <w:unhideWhenUsed/>
    <w:pPr>
      <w:ind w:left="1701"/>
      <w:spacing w:after="57"/>
    </w:pPr>
  </w:style>
  <w:style w:type="paragraph" w:styleId="845">
    <w:name w:val="toc 8"/>
    <w:basedOn w:val="675"/>
    <w:next w:val="675"/>
    <w:uiPriority w:val="39"/>
    <w:unhideWhenUsed/>
    <w:pPr>
      <w:ind w:left="1984"/>
      <w:spacing w:after="57"/>
    </w:pPr>
  </w:style>
  <w:style w:type="paragraph" w:styleId="846">
    <w:name w:val="toc 9"/>
    <w:basedOn w:val="675"/>
    <w:next w:val="675"/>
    <w:uiPriority w:val="39"/>
    <w:unhideWhenUsed/>
    <w:pPr>
      <w:ind w:left="2268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675"/>
    <w:next w:val="675"/>
    <w:uiPriority w:val="99"/>
    <w:unhideWhenUsed/>
    <w:pPr>
      <w:spacing w:after="0"/>
    </w:pPr>
  </w:style>
  <w:style w:type="character" w:styleId="849" w:customStyle="1">
    <w:name w:val="Заголовок 1 Знак"/>
    <w:basedOn w:val="685"/>
    <w:link w:val="676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50" w:customStyle="1">
    <w:name w:val="Заголовок 2 Знак"/>
    <w:basedOn w:val="685"/>
    <w:link w:val="677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51" w:customStyle="1">
    <w:name w:val="Заголовок 3 Знак"/>
    <w:basedOn w:val="685"/>
    <w:link w:val="678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52" w:customStyle="1">
    <w:name w:val="Заголовок 4 Знак"/>
    <w:basedOn w:val="685"/>
    <w:link w:val="679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53" w:customStyle="1">
    <w:name w:val="Заголовок 5 Знак"/>
    <w:basedOn w:val="685"/>
    <w:link w:val="680"/>
    <w:uiPriority w:val="9"/>
    <w:semiHidden/>
    <w:rPr>
      <w:rFonts w:eastAsiaTheme="majorEastAsia" w:cstheme="majorBidi"/>
      <w:color w:val="0f4761" w:themeColor="accent1" w:themeShade="BF"/>
    </w:rPr>
  </w:style>
  <w:style w:type="character" w:styleId="854" w:customStyle="1">
    <w:name w:val="Заголовок 6 Знак"/>
    <w:basedOn w:val="685"/>
    <w:link w:val="681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55" w:customStyle="1">
    <w:name w:val="Заголовок 7 Знак"/>
    <w:basedOn w:val="685"/>
    <w:link w:val="682"/>
    <w:uiPriority w:val="9"/>
    <w:semiHidden/>
    <w:rPr>
      <w:rFonts w:eastAsiaTheme="majorEastAsia" w:cstheme="majorBidi"/>
      <w:color w:val="595959" w:themeColor="text1" w:themeTint="A6"/>
    </w:rPr>
  </w:style>
  <w:style w:type="character" w:styleId="856" w:customStyle="1">
    <w:name w:val="Заголовок 8 Знак"/>
    <w:basedOn w:val="685"/>
    <w:link w:val="683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57" w:customStyle="1">
    <w:name w:val="Заголовок 9 Знак"/>
    <w:basedOn w:val="685"/>
    <w:link w:val="684"/>
    <w:uiPriority w:val="9"/>
    <w:semiHidden/>
    <w:rPr>
      <w:rFonts w:eastAsiaTheme="majorEastAsia" w:cstheme="majorBidi"/>
      <w:color w:val="272727" w:themeColor="text1" w:themeTint="D8"/>
    </w:rPr>
  </w:style>
  <w:style w:type="paragraph" w:styleId="858">
    <w:name w:val="Title"/>
    <w:basedOn w:val="675"/>
    <w:next w:val="675"/>
    <w:link w:val="859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59" w:customStyle="1">
    <w:name w:val="Заголовок Знак"/>
    <w:basedOn w:val="685"/>
    <w:link w:val="85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60">
    <w:name w:val="Subtitle"/>
    <w:basedOn w:val="675"/>
    <w:next w:val="675"/>
    <w:link w:val="86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61" w:customStyle="1">
    <w:name w:val="Подзаголовок Знак"/>
    <w:basedOn w:val="685"/>
    <w:link w:val="86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62">
    <w:name w:val="Quote"/>
    <w:basedOn w:val="675"/>
    <w:next w:val="675"/>
    <w:link w:val="863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63" w:customStyle="1">
    <w:name w:val="Цитата 2 Знак"/>
    <w:basedOn w:val="685"/>
    <w:link w:val="862"/>
    <w:uiPriority w:val="29"/>
    <w:rPr>
      <w:i/>
      <w:iCs/>
      <w:color w:val="404040" w:themeColor="text1" w:themeTint="BF"/>
    </w:rPr>
  </w:style>
  <w:style w:type="paragraph" w:styleId="864">
    <w:name w:val="List Paragraph"/>
    <w:basedOn w:val="675"/>
    <w:uiPriority w:val="34"/>
    <w:qFormat/>
    <w:pPr>
      <w:contextualSpacing/>
      <w:ind w:left="720"/>
    </w:pPr>
  </w:style>
  <w:style w:type="character" w:styleId="865">
    <w:name w:val="Intense Emphasis"/>
    <w:basedOn w:val="685"/>
    <w:uiPriority w:val="21"/>
    <w:qFormat/>
    <w:rPr>
      <w:i/>
      <w:iCs/>
      <w:color w:val="0f4761" w:themeColor="accent1" w:themeShade="BF"/>
    </w:rPr>
  </w:style>
  <w:style w:type="paragraph" w:styleId="866">
    <w:name w:val="Intense Quote"/>
    <w:basedOn w:val="675"/>
    <w:next w:val="675"/>
    <w:link w:val="867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67" w:customStyle="1">
    <w:name w:val="Выделенная цитата Знак"/>
    <w:basedOn w:val="685"/>
    <w:link w:val="866"/>
    <w:uiPriority w:val="30"/>
    <w:rPr>
      <w:i/>
      <w:iCs/>
      <w:color w:val="0f4761" w:themeColor="accent1" w:themeShade="BF"/>
    </w:rPr>
  </w:style>
  <w:style w:type="character" w:styleId="868">
    <w:name w:val="Intense Reference"/>
    <w:basedOn w:val="685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869">
    <w:name w:val="Hyperlink"/>
    <w:basedOn w:val="685"/>
    <w:uiPriority w:val="99"/>
    <w:unhideWhenUsed/>
    <w:rPr>
      <w:color w:val="467886" w:themeColor="hyperlink"/>
      <w:u w:val="single"/>
    </w:rPr>
  </w:style>
  <w:style w:type="character" w:styleId="870">
    <w:name w:val="Unresolved Mention"/>
    <w:basedOn w:val="685"/>
    <w:uiPriority w:val="99"/>
    <w:semiHidden/>
    <w:unhideWhenUsed/>
    <w:rPr>
      <w:color w:val="605e5c"/>
      <w:shd w:val="clear" w:color="auto" w:fill="e1dfdd"/>
    </w:rPr>
  </w:style>
  <w:style w:type="table" w:styleId="871">
    <w:name w:val="Table Grid"/>
    <w:basedOn w:val="68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2">
    <w:name w:val="toc 1"/>
    <w:basedOn w:val="675"/>
    <w:next w:val="675"/>
    <w:uiPriority w:val="39"/>
    <w:unhideWhenUsed/>
    <w:pPr>
      <w:ind w:left="-567" w:firstLine="567"/>
      <w:spacing w:before="360" w:after="360" w:line="240" w:lineRule="auto"/>
      <w:tabs>
        <w:tab w:val="left" w:pos="358" w:leader="none"/>
        <w:tab w:val="right" w:pos="9345" w:leader="dot"/>
      </w:tabs>
    </w:pPr>
    <w:rPr>
      <w:b/>
      <w:bCs/>
      <w:caps/>
      <w:sz w:val="22"/>
      <w:szCs w:val="22"/>
      <w:u w:val="single"/>
    </w:rPr>
  </w:style>
  <w:style w:type="paragraph" w:styleId="873" w:customStyle="1">
    <w:name w:val="Compact"/>
    <w:basedOn w:val="874"/>
    <w:qFormat/>
    <w:pPr>
      <w:spacing w:before="36" w:after="36" w:line="240" w:lineRule="auto"/>
    </w:pPr>
    <w:rPr>
      <w:rFonts w:ascii="Times New Roman" w:hAnsi="Times New Roman"/>
      <w:lang w:val="en-US"/>
      <w14:ligatures w14:val="none"/>
    </w:rPr>
  </w:style>
  <w:style w:type="paragraph" w:styleId="874">
    <w:name w:val="Body Text"/>
    <w:basedOn w:val="675"/>
    <w:link w:val="875"/>
    <w:uiPriority w:val="99"/>
    <w:semiHidden/>
    <w:unhideWhenUsed/>
    <w:pPr>
      <w:spacing w:after="120"/>
    </w:pPr>
  </w:style>
  <w:style w:type="character" w:styleId="875" w:customStyle="1">
    <w:name w:val="Основной текст Знак"/>
    <w:basedOn w:val="685"/>
    <w:link w:val="874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pos.gosuslugi.ru/docs/main/docs/&#1056;&#1091;&#1082;&#1086;&#1074;&#1086;&#1076;&#1089;&#1090;&#1074;&#1086;_&#1072;&#1076;&#1084;&#1080;&#1085;&#1080;&#1089;&#1090;&#1088;&#1072;&#1090;&#1086;&#1088;&#1072;.pdf" TargetMode="External"/><Relationship Id="rId10" Type="http://schemas.openxmlformats.org/officeDocument/2006/relationships/hyperlink" Target="https://pos.gosuslugi.ru/og/docs/category/27?page=2&amp;per-page=10%22%20%5Cl%20%22n" TargetMode="External"/><Relationship Id="rId11" Type="http://schemas.openxmlformats.org/officeDocument/2006/relationships/hyperlink" Target="https://esnsi.gosuslugi.ru/classifiers/21590/data?p=1&amp;q=REGION_MUNICIPAL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Мелихов</dc:creator>
  <cp:keywords/>
  <dc:description/>
  <cp:lastModifiedBy>Владислав Мелихов</cp:lastModifiedBy>
  <cp:revision>8</cp:revision>
  <dcterms:created xsi:type="dcterms:W3CDTF">2025-12-18T12:39:00Z</dcterms:created>
  <dcterms:modified xsi:type="dcterms:W3CDTF">2025-12-19T08:51:57Z</dcterms:modified>
</cp:coreProperties>
</file>