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Типовое решение № </w:t>
      </w:r>
      <w:r>
        <w:rPr>
          <w:b/>
          <w:bCs/>
          <w:sz w:val="28"/>
          <w:szCs w:val="28"/>
        </w:rPr>
        <w:t xml:space="preserve">136.1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сфере </w:t>
      </w:r>
      <w:r>
        <w:rPr>
          <w:b/>
          <w:bCs/>
          <w:sz w:val="28"/>
          <w:szCs w:val="28"/>
        </w:rPr>
        <w:t xml:space="preserve">ветеринарии</w:t>
      </w:r>
      <w:r>
        <w:rPr>
          <w:b/>
          <w:bCs/>
          <w:sz w:val="28"/>
          <w:szCs w:val="28"/>
        </w:rPr>
        <w:t xml:space="preserve"> «Мой питомец»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rFonts w:eastAsiaTheme="majorEastAsia"/>
          <w:b/>
          <w:bCs/>
          <w:sz w:val="28"/>
          <w:szCs w:val="28"/>
        </w:rPr>
        <w:t xml:space="preserve">Инструкция по созданию и наполнению справочников-доноров ЕСНСИ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Листов 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8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160" w:line="278" w:lineRule="auto"/>
        <w:rPr>
          <w:b/>
          <w:bCs/>
        </w:rPr>
      </w:pPr>
      <w:r>
        <w:rPr>
          <w:b/>
          <w:bCs/>
        </w:rPr>
        <w:br w:type="page" w:clear="all"/>
      </w:r>
      <w:r>
        <w:rPr>
          <w:b/>
          <w:bCs/>
        </w:rPr>
      </w:r>
      <w:r>
        <w:rPr>
          <w:b/>
          <w:bCs/>
        </w:rPr>
      </w:r>
    </w:p>
    <w:sdt>
      <w:sdtPr>
        <w15:appearance w15:val="boundingBox"/>
        <w:id w:val="-1662766337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94"/>
            <w:jc w:val="center"/>
            <w:spacing w:before="0" w:after="24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216964494" w:anchor="_Toc216964494" w:history="1">
            <w:r>
              <w:rPr>
                <w:rStyle w:val="896"/>
              </w:rPr>
              <w:t xml:space="preserve">Термины и сокращения</w:t>
            </w:r>
            <w:r>
              <w:tab/>
            </w:r>
            <w:r>
              <w:fldChar w:fldCharType="begin"/>
            </w:r>
            <w:r>
              <w:instrText xml:space="preserve"> PAGEREF _Toc216964494 \h </w:instrText>
            </w:r>
            <w:r>
              <w:fldChar w:fldCharType="separate"/>
            </w:r>
            <w:r>
              <w:rPr>
                <w:rStyle w:val="896"/>
              </w:rPr>
              <w:t xml:space="preserve">3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64495" w:anchor="_Toc216964495" w:history="1">
            <w:r>
              <w:rPr>
                <w:rStyle w:val="896"/>
              </w:rPr>
              <w:t xml:space="preserve">1. Создание справочника-донора уполномоченных органов в ЕСНСИ</w:t>
            </w:r>
            <w:r>
              <w:tab/>
            </w:r>
            <w:r>
              <w:fldChar w:fldCharType="begin"/>
            </w:r>
            <w:r>
              <w:instrText xml:space="preserve"> PAGEREF _Toc216964495 \h </w:instrText>
            </w:r>
            <w:r>
              <w:fldChar w:fldCharType="separate"/>
            </w:r>
            <w:r>
              <w:rPr>
                <w:rStyle w:val="896"/>
              </w:rPr>
              <w:t xml:space="preserve">4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64496" w:anchor="_Toc216964496" w:history="1">
            <w:r>
              <w:rPr>
                <w:rStyle w:val="896"/>
              </w:rPr>
              <w:t xml:space="preserve">2. Подготовка файлов для загрузки в справочник</w:t>
            </w:r>
            <w:r>
              <w:tab/>
            </w:r>
            <w:r>
              <w:fldChar w:fldCharType="begin"/>
            </w:r>
            <w:r>
              <w:instrText xml:space="preserve"> PAGEREF _Toc216964496 \h </w:instrText>
            </w:r>
            <w:r>
              <w:fldChar w:fldCharType="separate"/>
            </w:r>
            <w:r>
              <w:rPr>
                <w:rStyle w:val="896"/>
              </w:rPr>
              <w:t xml:space="preserve">6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64497" w:anchor="_Toc216964497" w:history="1">
            <w:r>
              <w:rPr>
                <w:rStyle w:val="896"/>
              </w:rPr>
              <w:t xml:space="preserve">3. Описание преобразования столбцов CODE и SERVICE_CODE</w:t>
            </w:r>
            <w:r>
              <w:tab/>
            </w:r>
            <w:r>
              <w:fldChar w:fldCharType="begin"/>
            </w:r>
            <w:r>
              <w:instrText xml:space="preserve"> PAGEREF _Toc216964497 \h </w:instrText>
            </w:r>
            <w:r>
              <w:fldChar w:fldCharType="separate"/>
            </w:r>
            <w:r>
              <w:rPr>
                <w:rStyle w:val="896"/>
              </w:rPr>
              <w:t xml:space="preserve">10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64498" w:anchor="_Toc216964498" w:history="1">
            <w:r>
              <w:rPr>
                <w:rStyle w:val="896"/>
              </w:rPr>
              <w:t xml:space="preserve">4. Наполнение справочника-донора уполномоченных органов</w:t>
            </w:r>
            <w:r>
              <w:tab/>
            </w:r>
            <w:r>
              <w:fldChar w:fldCharType="begin"/>
            </w:r>
            <w:r>
              <w:instrText xml:space="preserve"> PAGEREF _Toc216964498 \h </w:instrText>
            </w:r>
            <w:r>
              <w:fldChar w:fldCharType="separate"/>
            </w:r>
            <w:r>
              <w:rPr>
                <w:rStyle w:val="896"/>
              </w:rPr>
              <w:t xml:space="preserve">12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5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64499" w:anchor="_Toc216964499" w:history="1">
            <w:r>
              <w:rPr>
                <w:rStyle w:val="896"/>
              </w:rPr>
              <w:t xml:space="preserve">5. Справочник донор для ЕЛК</w:t>
            </w:r>
            <w:r>
              <w:tab/>
            </w:r>
            <w:r>
              <w:fldChar w:fldCharType="begin"/>
            </w:r>
            <w:r>
              <w:instrText xml:space="preserve"> PAGEREF _Toc216964499 \h </w:instrText>
            </w:r>
            <w:r>
              <w:fldChar w:fldCharType="separate"/>
            </w:r>
            <w:r>
              <w:rPr>
                <w:rStyle w:val="896"/>
              </w:rPr>
              <w:t xml:space="preserve">13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pStyle w:val="888"/>
      </w:pPr>
      <w:r/>
      <w:r/>
    </w:p>
    <w:p>
      <w:pPr>
        <w:jc w:val="left"/>
        <w:spacing w:after="160" w:line="278" w:lineRule="auto"/>
      </w:pPr>
      <w:r>
        <w:br w:type="page" w:clear="all"/>
      </w:r>
      <w:r/>
    </w:p>
    <w:p>
      <w:pPr>
        <w:pStyle w:val="856"/>
        <w:numPr>
          <w:ilvl w:val="0"/>
          <w:numId w:val="0"/>
        </w:numPr>
      </w:pPr>
      <w:r/>
      <w:bookmarkStart w:id="0" w:name="_Toc216964494"/>
      <w:r>
        <w:t xml:space="preserve">Термины и сокращения</w:t>
      </w:r>
      <w:bookmarkEnd w:id="0"/>
      <w:r/>
      <w:r/>
    </w:p>
    <w:tbl>
      <w:tblPr>
        <w:tblStyle w:val="897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Термин, сокращение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Определение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ЕЛК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Единый личный кабинет</w:t>
            </w:r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ФГИС ЕСНСИ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Единая система нормативной справочной информации</w:t>
            </w:r>
            <w:r/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Стандарт (регламент услуги, функции)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/>
          </w:p>
        </w:tc>
      </w:tr>
    </w:tbl>
    <w:p>
      <w:r/>
      <w:r/>
    </w:p>
    <w:p>
      <w:pPr>
        <w:pStyle w:val="856"/>
      </w:pPr>
      <w:r>
        <w:br w:type="page" w:clear="all"/>
      </w:r>
      <w:bookmarkStart w:id="1" w:name="_Toc216964495"/>
      <w:r>
        <w:t xml:space="preserve">Создание справочника-донора уполномоченных органов в ЕСНСИ</w:t>
      </w:r>
      <w:bookmarkEnd w:id="1"/>
      <w:r/>
      <w:r/>
    </w:p>
    <w:p>
      <w:r/>
      <w:r/>
    </w:p>
    <w:p>
      <w:pPr>
        <w:ind w:firstLine="709"/>
      </w:pPr>
      <w:r>
        <w:t xml:space="preserve">Для создания донорского справочника для вашего региона необходимо создать две заявки в Федеральной государственной информационной системе «Федеральный ситуационный центр электронного правительства» (далее – ФГИС СЦ).</w:t>
      </w:r>
      <w:r/>
    </w:p>
    <w:p>
      <w:pPr>
        <w:ind w:firstLine="709"/>
      </w:pPr>
      <w:r>
        <w:t xml:space="preserve">Одна заявка относится к созданию справочника в тестовой среде, вторая – в продуктивной среде. Уточняем, что создание справочника в тестовой среде является обязательным для </w:t>
      </w:r>
      <w:r>
        <w:t xml:space="preserve">того, чтобы была возможность протестировать загрузку указанных вами данных в последующем. Обращаем внимание, что количество справочников в рамках одной среды не зависит от количества подключаемых решений. Необходим только один справочник от одного региона:</w:t>
      </w:r>
      <w:r/>
    </w:p>
    <w:p>
      <w:pPr>
        <w:pStyle w:val="883"/>
        <w:numPr>
          <w:ilvl w:val="0"/>
          <w:numId w:val="4"/>
        </w:numPr>
        <w:contextualSpacing w:val="0"/>
        <w:ind w:left="0" w:firstLine="709"/>
        <w:spacing w:after="160" w:line="278" w:lineRule="auto"/>
      </w:pPr>
      <w:r>
        <w:t xml:space="preserve">Перейдите по ссылке </w:t>
      </w:r>
      <w:hyperlink r:id="rId11" w:tooltip="https://sc.digital.gov.ru/home" w:history="1">
        <w:r>
          <w:rPr>
            <w:rStyle w:val="896"/>
          </w:rPr>
          <w:t xml:space="preserve">https://sc.digital.gov.ru/home</w:t>
        </w:r>
      </w:hyperlink>
      <w:r>
        <w:t xml:space="preserve"> для последующего создания заявок.</w:t>
      </w:r>
      <w:r/>
    </w:p>
    <w:p>
      <w:pPr>
        <w:pStyle w:val="883"/>
        <w:numPr>
          <w:ilvl w:val="0"/>
          <w:numId w:val="4"/>
        </w:numPr>
        <w:contextualSpacing w:val="0"/>
        <w:ind w:left="0" w:firstLine="709"/>
        <w:spacing w:after="160" w:line="278" w:lineRule="auto"/>
      </w:pPr>
      <w:r>
        <w:t xml:space="preserve">На открывшейся странице перейдите в раздел «Запросы» и нажмите на кнопку «Добавить запрос»</w:t>
      </w:r>
      <w:r>
        <w:t xml:space="preserve"> (рис. 1)</w:t>
      </w:r>
      <w:r>
        <w:t xml:space="preserve">.</w:t>
      </w:r>
      <w:r/>
    </w:p>
    <w:p>
      <w:pPr>
        <w:jc w:val="center"/>
        <w:keepNext/>
        <w:spacing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51950" cy="1638300"/>
                <wp:effectExtent l="0" t="0" r="1270" b="0"/>
                <wp:docPr id="1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843308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981260" cy="16479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89.92pt;height:12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903"/>
        <w:jc w:val="center"/>
        <w:spacing w:after="0"/>
        <w:rPr>
          <w:i w:val="0"/>
          <w:iCs w:val="0"/>
          <w:color w:val="auto"/>
          <w:sz w:val="36"/>
          <w:szCs w:val="36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1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Раздел запросы для подачи заявки в рамках ФГИС СЦ</w:t>
      </w:r>
      <w:r>
        <w:rPr>
          <w:i w:val="0"/>
          <w:iCs w:val="0"/>
          <w:color w:val="auto"/>
          <w:sz w:val="36"/>
          <w:szCs w:val="36"/>
        </w:rPr>
      </w:r>
      <w:r>
        <w:rPr>
          <w:i w:val="0"/>
          <w:iCs w:val="0"/>
          <w:color w:val="auto"/>
          <w:sz w:val="36"/>
          <w:szCs w:val="36"/>
        </w:rPr>
      </w:r>
    </w:p>
    <w:p>
      <w:pPr>
        <w:spacing w:line="240" w:lineRule="auto"/>
      </w:pPr>
      <w:r/>
      <w:r/>
    </w:p>
    <w:p>
      <w:pPr>
        <w:pStyle w:val="883"/>
        <w:numPr>
          <w:ilvl w:val="0"/>
          <w:numId w:val="4"/>
        </w:numPr>
        <w:ind w:left="0" w:firstLine="709"/>
        <w:spacing w:after="160" w:line="278" w:lineRule="auto"/>
      </w:pPr>
      <w:r>
        <w:t xml:space="preserve">Перед вами откроется шаблон заявления. Заполните его в соответствии с параметрами ниже</w:t>
      </w:r>
      <w:r>
        <w:t xml:space="preserve"> (рис. 2)</w:t>
      </w:r>
      <w:r>
        <w:t xml:space="preserve">.</w:t>
      </w:r>
      <w:r/>
    </w:p>
    <w:p>
      <w:pPr>
        <w:jc w:val="center"/>
        <w:keepNext/>
        <w:spacing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72051" cy="2667000"/>
                <wp:effectExtent l="0" t="0" r="5080" b="0"/>
                <wp:docPr id="2" name="Рисунок 1" descr="Изображение выглядит как текст, снимок экрана, дисплей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0020202" name="Рисунок 1" descr="Изображение выглядит как текст, снимок экрана, дисплей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891924" cy="2677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3.63pt;height:210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903"/>
        <w:jc w:val="center"/>
        <w:spacing w:after="0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2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Форма создания запроса ФГИС СЦ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pPr>
        <w:ind w:firstLine="709"/>
      </w:pPr>
      <w:r>
        <w:t xml:space="preserve">3.1. </w:t>
      </w:r>
      <w:r>
        <w:t xml:space="preserve">Для тестовой среды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Услуга: </w:t>
      </w:r>
      <w:r>
        <w:rPr>
          <w:i/>
          <w:iCs/>
        </w:rPr>
        <w:t xml:space="preserve">Инциденты ИС ИЭП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Тип запроса: </w:t>
      </w:r>
      <w:r>
        <w:rPr>
          <w:i/>
          <w:iCs/>
        </w:rPr>
        <w:t xml:space="preserve">Запрос/инцидент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Уровень влияния на приоритет: </w:t>
      </w:r>
      <w:r>
        <w:rPr>
          <w:i/>
          <w:iCs/>
        </w:rPr>
        <w:t xml:space="preserve">3 Приоритет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Система ИЭП: </w:t>
      </w:r>
      <w:r>
        <w:rPr>
          <w:i/>
          <w:iCs/>
        </w:rPr>
        <w:t xml:space="preserve">· ТЕСНСИ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  <w:rPr>
          <w:i/>
          <w:iCs/>
        </w:rPr>
      </w:pPr>
      <w:r>
        <w:t xml:space="preserve">Тема: </w:t>
      </w:r>
      <w:r>
        <w:rPr>
          <w:i/>
          <w:iCs/>
        </w:rPr>
        <w:t xml:space="preserve">Создание справочника-донора</w:t>
      </w:r>
      <w:r>
        <w:rPr>
          <w:i/>
          <w:iCs/>
        </w:rPr>
      </w:r>
      <w:r>
        <w:rPr>
          <w:i/>
          <w:iCs/>
        </w:rPr>
      </w:r>
    </w:p>
    <w:p>
      <w:pPr>
        <w:ind w:firstLine="709"/>
        <w:spacing w:after="160"/>
      </w:pPr>
      <w:r>
        <w:t xml:space="preserve">Описание (возможный пример): </w:t>
      </w:r>
      <w:r>
        <w:rPr>
          <w:i/>
          <w:iCs/>
        </w:rPr>
        <w:t xml:space="preserve">Добрый день! Просим создать справочник-донор в тестовом контуре Единой системы нормативной справочной информации для [</w:t>
      </w:r>
      <w:r>
        <w:t xml:space="preserve">наименование региона</w:t>
      </w:r>
      <w:r>
        <w:rPr>
          <w:i/>
          <w:iCs/>
        </w:rPr>
        <w:t xml:space="preserve">] на основании данных из прикреплённого файла.</w:t>
      </w:r>
      <w:r/>
    </w:p>
    <w:p>
      <w:pPr>
        <w:ind w:firstLine="709"/>
      </w:pPr>
      <w:r>
        <w:t xml:space="preserve">3.2. </w:t>
      </w:r>
      <w:r>
        <w:t xml:space="preserve">Для продуктивной среды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Услуга: </w:t>
      </w:r>
      <w:r>
        <w:rPr>
          <w:i/>
          <w:iCs/>
        </w:rPr>
        <w:t xml:space="preserve">Инциденты ИС ИЭП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Тип запроса: </w:t>
      </w:r>
      <w:r>
        <w:rPr>
          <w:i/>
          <w:iCs/>
        </w:rPr>
        <w:t xml:space="preserve">Запрос/инцидент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Уровень влияния на приоритет: </w:t>
      </w:r>
      <w:r>
        <w:rPr>
          <w:i/>
          <w:iCs/>
        </w:rPr>
        <w:t xml:space="preserve">3 Приоритет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</w:pPr>
      <w:r>
        <w:t xml:space="preserve">Система ИЭП: </w:t>
      </w:r>
      <w:r>
        <w:rPr>
          <w:i/>
          <w:iCs/>
        </w:rPr>
        <w:t xml:space="preserve">· ЕСНСИ</w:t>
      </w:r>
      <w:r/>
    </w:p>
    <w:p>
      <w:pPr>
        <w:pStyle w:val="883"/>
        <w:numPr>
          <w:ilvl w:val="0"/>
          <w:numId w:val="8"/>
        </w:numPr>
        <w:contextualSpacing w:val="0"/>
        <w:ind w:left="0" w:firstLine="709"/>
        <w:rPr>
          <w:i/>
          <w:iCs/>
        </w:rPr>
      </w:pPr>
      <w:r>
        <w:t xml:space="preserve">Тема: </w:t>
      </w:r>
      <w:r>
        <w:rPr>
          <w:i/>
          <w:iCs/>
        </w:rPr>
        <w:t xml:space="preserve">Создание справочника-донора</w:t>
      </w:r>
      <w:r>
        <w:rPr>
          <w:i/>
          <w:iCs/>
        </w:rPr>
      </w:r>
      <w:r>
        <w:rPr>
          <w:i/>
          <w:iCs/>
        </w:rPr>
      </w:r>
    </w:p>
    <w:p>
      <w:pPr>
        <w:ind w:firstLine="709"/>
        <w:spacing w:after="160"/>
      </w:pPr>
      <w:r>
        <w:t xml:space="preserve">Описание (возможный пример): </w:t>
      </w:r>
      <w:r>
        <w:t xml:space="preserve">Добрый день! Просим создать справочник-донор в продуктивном контуре Единой системы</w:t>
      </w:r>
      <w:r>
        <w:rPr>
          <w:i/>
          <w:iCs/>
        </w:rPr>
        <w:t xml:space="preserve"> нормативной справочной информации для [</w:t>
      </w:r>
      <w:r>
        <w:t xml:space="preserve">наименование региона</w:t>
      </w:r>
      <w:r>
        <w:rPr>
          <w:i/>
          <w:iCs/>
        </w:rPr>
        <w:t xml:space="preserve">] на основании данных из прикреплённого файла.</w:t>
      </w:r>
      <w:r/>
    </w:p>
    <w:p>
      <w:pPr>
        <w:pStyle w:val="883"/>
        <w:numPr>
          <w:ilvl w:val="0"/>
          <w:numId w:val="4"/>
        </w:numPr>
        <w:contextualSpacing w:val="0"/>
        <w:ind w:left="714" w:hanging="357"/>
        <w:spacing w:after="160" w:line="278" w:lineRule="auto"/>
      </w:pPr>
      <w:r>
        <w:t xml:space="preserve">К каждой заявке прикрепите отдельно заполненный файл </w:t>
      </w:r>
      <w:r>
        <w:rPr>
          <w:i/>
          <w:iCs/>
        </w:rPr>
        <w:t xml:space="preserve">«</w:t>
      </w:r>
      <w:r>
        <w:rPr>
          <w:i/>
          <w:iCs/>
        </w:rPr>
        <w:t xml:space="preserve">Форма_заявки_на_создание_справочника_донора_в_ЕСНСИ</w:t>
      </w:r>
      <w:r>
        <w:rPr>
          <w:i/>
          <w:iCs/>
        </w:rPr>
        <w:t xml:space="preserve">»</w:t>
      </w:r>
      <w:r>
        <w:t xml:space="preserve">.</w:t>
      </w:r>
      <w:r/>
    </w:p>
    <w:p>
      <w:pPr>
        <w:pStyle w:val="883"/>
        <w:numPr>
          <w:ilvl w:val="0"/>
          <w:numId w:val="4"/>
        </w:numPr>
        <w:contextualSpacing w:val="0"/>
        <w:ind w:left="714" w:hanging="357"/>
        <w:spacing w:after="160" w:line="278" w:lineRule="auto"/>
      </w:pPr>
      <w:r>
        <w:t xml:space="preserve">Как необходимо заполнить файлы:</w:t>
      </w:r>
      <w:r/>
    </w:p>
    <w:p>
      <w:pPr>
        <w:ind w:firstLine="709"/>
      </w:pPr>
      <w:r/>
      <w:bookmarkStart w:id="2" w:name="_Hlk205998847"/>
      <w:r>
        <w:rPr>
          <w:b/>
          <w:bCs/>
        </w:rPr>
        <w:t xml:space="preserve">Наименование среды, в которой требуется создать справочник</w:t>
      </w:r>
      <w:bookmarkEnd w:id="2"/>
      <w:r>
        <w:rPr>
          <w:b/>
          <w:bCs/>
        </w:rPr>
        <w:t xml:space="preserve">: </w:t>
      </w:r>
      <w:r>
        <w:t xml:space="preserve">в одном файле указывается значение «Тестовая среда», в другом «Продуктивная среда».</w:t>
      </w:r>
      <w:r/>
    </w:p>
    <w:p>
      <w:pPr>
        <w:ind w:firstLine="709"/>
        <w:rPr>
          <w:b/>
          <w:bCs/>
        </w:rPr>
      </w:pPr>
      <w:r>
        <w:rPr>
          <w:b/>
          <w:bCs/>
        </w:rPr>
        <w:t xml:space="preserve">Наименование группы в ЕСНСИ, для которой создается справочник: </w:t>
      </w:r>
      <w:r>
        <w:t xml:space="preserve">указывается наименование организации в ЕСНСИ регионального уровня, от которой создается справочник. У организации в дальнейшем будет возможность управлять справочником, вносить и обновлять значения.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rPr>
          <w:b/>
          <w:bCs/>
        </w:rPr>
      </w:pPr>
      <w:r>
        <w:rPr>
          <w:b/>
          <w:bCs/>
        </w:rPr>
        <w:t xml:space="preserve">Код справочника-агрегатора, в котором создается справочник-донор: </w:t>
      </w:r>
      <w:r>
        <w:t xml:space="preserve">для тестовой среды «</w:t>
      </w:r>
      <w:r>
        <w:rPr>
          <w:i/>
          <w:iCs/>
          <w:lang w:val="en-US"/>
        </w:rPr>
        <w:t xml:space="preserve">REGION</w:t>
      </w:r>
      <w:r>
        <w:rPr>
          <w:i/>
          <w:iCs/>
        </w:rPr>
        <w:t xml:space="preserve">_</w:t>
      </w:r>
      <w:r>
        <w:rPr>
          <w:i/>
          <w:iCs/>
          <w:lang w:val="en-US"/>
        </w:rPr>
        <w:t xml:space="preserve">MUNICIPAL</w:t>
      </w:r>
      <w:r>
        <w:rPr>
          <w:i/>
          <w:iCs/>
        </w:rPr>
        <w:t xml:space="preserve">2025</w:t>
      </w:r>
      <w:r>
        <w:t xml:space="preserve">», для продуктивной среды «</w:t>
      </w:r>
      <w:r>
        <w:rPr>
          <w:i/>
          <w:iCs/>
          <w:lang w:val="en-US"/>
        </w:rPr>
        <w:t xml:space="preserve">REGION</w:t>
      </w:r>
      <w:r>
        <w:rPr>
          <w:i/>
          <w:iCs/>
        </w:rPr>
        <w:t xml:space="preserve">_</w:t>
      </w:r>
      <w:r>
        <w:rPr>
          <w:i/>
          <w:iCs/>
          <w:lang w:val="en-US"/>
        </w:rPr>
        <w:t xml:space="preserve">MUNICIPAL</w:t>
      </w:r>
      <w:r>
        <w:rPr>
          <w:i/>
          <w:iCs/>
        </w:rPr>
        <w:t xml:space="preserve">2025».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</w:pPr>
      <w:r>
        <w:rPr>
          <w:b/>
          <w:bCs/>
        </w:rPr>
        <w:t xml:space="preserve">Код справочника-донора:</w:t>
      </w:r>
      <w:r>
        <w:t xml:space="preserve"> укажите наименование справочника-донора и наименование административного центра вашего региона через нижнее подчеркивание. </w:t>
      </w:r>
      <w:r/>
    </w:p>
    <w:p>
      <w:pPr>
        <w:ind w:firstLine="709"/>
        <w:rPr>
          <w:i/>
          <w:iCs/>
        </w:rPr>
      </w:pPr>
      <w:r>
        <w:rPr>
          <w:i/>
          <w:iCs/>
        </w:rPr>
        <w:t xml:space="preserve">Пример: «</w:t>
      </w:r>
      <w:r>
        <w:rPr>
          <w:i/>
          <w:iCs/>
          <w:lang w:val="en-US"/>
        </w:rPr>
        <w:t xml:space="preserve">REGION</w:t>
      </w:r>
      <w:r>
        <w:rPr>
          <w:i/>
          <w:iCs/>
        </w:rPr>
        <w:t xml:space="preserve">_</w:t>
      </w:r>
      <w:r>
        <w:rPr>
          <w:i/>
          <w:iCs/>
          <w:lang w:val="en-US"/>
        </w:rPr>
        <w:t xml:space="preserve">MUNICIPAL</w:t>
      </w:r>
      <w:r>
        <w:rPr>
          <w:i/>
          <w:iCs/>
        </w:rPr>
        <w:t xml:space="preserve">2025_</w:t>
      </w:r>
      <w:r>
        <w:rPr>
          <w:i/>
          <w:iCs/>
          <w:lang w:val="en-US"/>
        </w:rPr>
        <w:t xml:space="preserve">KALININGRAD</w:t>
      </w:r>
      <w:r>
        <w:rPr>
          <w:i/>
          <w:iCs/>
        </w:rPr>
        <w:t xml:space="preserve">»</w:t>
      </w:r>
      <w:r>
        <w:rPr>
          <w:i/>
          <w:iCs/>
        </w:rPr>
      </w:r>
      <w:r>
        <w:rPr>
          <w:i/>
          <w:iCs/>
        </w:rPr>
      </w:r>
    </w:p>
    <w:p>
      <w:pPr>
        <w:ind w:firstLine="709"/>
      </w:pPr>
      <w:r>
        <w:rPr>
          <w:b/>
          <w:bCs/>
        </w:rPr>
        <w:t xml:space="preserve">Примечание:</w:t>
      </w:r>
      <w:r>
        <w:t xml:space="preserve"> укажите наименование своего региона. </w:t>
      </w:r>
      <w:r/>
    </w:p>
    <w:p>
      <w:pPr>
        <w:ind w:firstLine="709"/>
        <w:spacing w:after="160"/>
        <w:rPr>
          <w:i/>
          <w:iCs/>
        </w:rPr>
      </w:pPr>
      <w:r>
        <w:rPr>
          <w:i/>
          <w:iCs/>
        </w:rPr>
        <w:t xml:space="preserve">Примеры: «Калининградская область» или «Ростовская область»</w:t>
      </w:r>
      <w:r>
        <w:rPr>
          <w:i/>
          <w:iCs/>
        </w:rPr>
      </w:r>
      <w:r>
        <w:rPr>
          <w:i/>
          <w:iCs/>
        </w:rPr>
      </w:r>
    </w:p>
    <w:p>
      <w:pPr>
        <w:pStyle w:val="883"/>
        <w:numPr>
          <w:ilvl w:val="0"/>
          <w:numId w:val="4"/>
        </w:numPr>
        <w:spacing w:after="160" w:line="278" w:lineRule="auto"/>
      </w:pPr>
      <w:r>
        <w:t xml:space="preserve">Нажмите кнопку «Создать».</w:t>
      </w:r>
      <w:r/>
    </w:p>
    <w:p>
      <w:r/>
      <w:r/>
    </w:p>
    <w:p>
      <w:pPr>
        <w:pStyle w:val="856"/>
        <w:ind w:left="0" w:firstLine="0"/>
      </w:pPr>
      <w:r/>
      <w:bookmarkStart w:id="3" w:name="_Hlk206760910"/>
      <w:r/>
      <w:bookmarkStart w:id="4" w:name="_Toc216964496"/>
      <w:r>
        <w:t xml:space="preserve">Подготовка файлов для загрузки в справочник</w:t>
      </w:r>
      <w:bookmarkEnd w:id="4"/>
      <w:r/>
      <w:r/>
    </w:p>
    <w:p>
      <w:pPr>
        <w:ind w:firstLine="709"/>
      </w:pPr>
      <w:r>
        <w:t xml:space="preserve">Ознакомьтесь с описанием структуры справочника-донора для корректного заполнения. </w:t>
      </w:r>
      <w:r>
        <w:t xml:space="preserve">П</w:t>
      </w:r>
      <w:r>
        <w:t xml:space="preserve">ример</w:t>
      </w:r>
      <w:r>
        <w:t xml:space="preserve"> представлен в Табл. 1:</w:t>
      </w:r>
      <w:r/>
    </w:p>
    <w:p>
      <w:pPr>
        <w:pStyle w:val="903"/>
        <w:jc w:val="right"/>
        <w:keepNext/>
        <w:spacing w:after="0" w:line="276" w:lineRule="auto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Таблица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Таблица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1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О</w:t>
      </w:r>
      <w:r>
        <w:rPr>
          <w:i w:val="0"/>
          <w:iCs w:val="0"/>
          <w:color w:val="auto"/>
          <w:sz w:val="24"/>
          <w:szCs w:val="24"/>
        </w:rPr>
        <w:t xml:space="preserve">писани</w:t>
      </w:r>
      <w:r>
        <w:rPr>
          <w:i w:val="0"/>
          <w:iCs w:val="0"/>
          <w:color w:val="auto"/>
          <w:sz w:val="24"/>
          <w:szCs w:val="24"/>
        </w:rPr>
        <w:t xml:space="preserve">е </w:t>
      </w:r>
      <w:r>
        <w:rPr>
          <w:i w:val="0"/>
          <w:iCs w:val="0"/>
          <w:color w:val="auto"/>
          <w:sz w:val="24"/>
          <w:szCs w:val="24"/>
        </w:rPr>
        <w:t xml:space="preserve">структуры справочника-донора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80"/>
        <w:gridCol w:w="5807"/>
      </w:tblGrid>
      <w:tr>
        <w:tblPrEx/>
        <w:trPr>
          <w:trHeight w:val="323"/>
          <w:tblHeader/>
        </w:trPr>
        <w:tc>
          <w:tcPr>
            <w:shd w:val="clear" w:color="auto" w:fill="f4f5f7"/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172b4d"/>
                <w:lang w:eastAsia="ru-RU"/>
              </w:rPr>
            </w:pPr>
            <w:r>
              <w:rPr>
                <w:rFonts w:eastAsia="Times New Roman"/>
                <w:b/>
                <w:bCs/>
                <w:color w:val="172b4d"/>
                <w:lang w:eastAsia="ru-RU"/>
              </w:rPr>
              <w:t xml:space="preserve">№ п/п</w:t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</w:p>
        </w:tc>
        <w:tc>
          <w:tcPr>
            <w:shd w:val="clear" w:color="auto" w:fill="f4f5f7"/>
            <w:tcMar>
              <w:left w:w="150" w:type="dxa"/>
              <w:top w:w="105" w:type="dxa"/>
              <w:right w:w="225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172b4d"/>
                <w:lang w:eastAsia="ru-RU"/>
              </w:rPr>
            </w:pPr>
            <w:r>
              <w:rPr>
                <w:rFonts w:eastAsia="Times New Roman"/>
                <w:b/>
                <w:bCs/>
                <w:color w:val="172b4d"/>
                <w:lang w:eastAsia="ru-RU"/>
              </w:rPr>
              <w:t xml:space="preserve">Код атрибута</w:t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</w:p>
        </w:tc>
        <w:tc>
          <w:tcPr>
            <w:shd w:val="clear" w:color="auto" w:fill="f4f5f7"/>
            <w:tcMar>
              <w:left w:w="150" w:type="dxa"/>
              <w:top w:w="105" w:type="dxa"/>
              <w:right w:w="225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ind w:right="-221"/>
              <w:jc w:val="center"/>
              <w:rPr>
                <w:rFonts w:eastAsia="Times New Roman"/>
                <w:b/>
                <w:bCs/>
                <w:color w:val="172b4d"/>
                <w:lang w:eastAsia="ru-RU"/>
              </w:rPr>
            </w:pPr>
            <w:r>
              <w:rPr>
                <w:rFonts w:eastAsia="Times New Roman"/>
                <w:b/>
                <w:bCs/>
                <w:color w:val="172b4d"/>
                <w:lang w:eastAsia="ru-RU"/>
              </w:rPr>
              <w:t xml:space="preserve">Описание заполнения</w:t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  <w:r>
              <w:rPr>
                <w:rFonts w:eastAsia="Times New Roman"/>
                <w:b/>
                <w:bCs/>
                <w:color w:val="172b4d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CODE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Указывается ОГРН уполномоченного органа, оказывающего услугу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При открытии файла-примера данный столбец преобразовать в числовой формат с числом десятичных знаков = 0. 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Подробнее описано под текущей таблицей.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SERVICE_CODE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значение: </w:t>
            </w:r>
            <w:r>
              <w:rPr>
                <w:rFonts w:eastAsia="Times New Roman"/>
                <w:b/>
                <w:bCs/>
                <w:i/>
                <w:iCs/>
                <w:lang w:eastAsia="ru-RU"/>
              </w:rPr>
              <w:t xml:space="preserve">673151 </w:t>
            </w:r>
            <w:r>
              <w:rPr>
                <w:rFonts w:eastAsia="Times New Roman"/>
                <w:lang w:eastAsia="ru-RU"/>
              </w:rPr>
              <w:t xml:space="preserve">(для подключения к Сервису «Мой питомец»). 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При открытии файла-примера данный столбец преобразовать в числовой формат с числом десятичных знаков = 0. 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  <w:t xml:space="preserve">Подробнее описано под текущей таблицей.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* При подключении к Сервису «Реклама» условия заполнения см. в файле «1</w:t>
            </w:r>
            <w:r>
              <w:rPr>
                <w:rFonts w:eastAsia="Times New Roman"/>
                <w:lang w:eastAsia="ru-RU"/>
              </w:rPr>
              <w:t xml:space="preserve">15_Инструкция по созданию  и наполнению справочников-доноров</w:t>
            </w:r>
            <w:r>
              <w:rPr>
                <w:rFonts w:eastAsia="Times New Roman"/>
                <w:lang w:eastAsia="ru-RU"/>
              </w:rPr>
              <w:t xml:space="preserve">».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highlight w:val="none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* При подключении к Сервису «Торговля» условия заполнения см. в файле «</w:t>
            </w:r>
            <w:r>
              <w:rPr>
                <w:rFonts w:eastAsia="Times New Roman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lang w:eastAsia="ru-RU"/>
              </w:rPr>
              <w:t xml:space="preserve">».</w:t>
            </w:r>
            <w:r>
              <w:rPr>
                <w:rFonts w:eastAsia="Times New Roman"/>
                <w:highlight w:val="none"/>
                <w:lang w:eastAsia="ru-RU"/>
              </w:rPr>
            </w:r>
            <w:r>
              <w:rPr>
                <w:rFonts w:eastAsia="Times New Roman"/>
                <w:highlight w:val="none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 xml:space="preserve">REGION</w:t>
            </w:r>
            <w:r>
              <w:rPr>
                <w:rFonts w:eastAsia="Times New Roman"/>
                <w:color w:val="000000"/>
                <w:lang w:val="en-US" w:eastAsia="ru-RU"/>
              </w:rPr>
            </w:r>
            <w:r>
              <w:rPr>
                <w:rFonts w:eastAsia="Times New Roman"/>
                <w:color w:val="000000"/>
                <w:lang w:val="en-US"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полное наименование региона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color w:val="124f1a" w:themeColor="accent3" w:themeShade="BF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Пример: </w:t>
            </w:r>
            <w:r>
              <w:rPr>
                <w:rFonts w:eastAsia="Times New Roman"/>
                <w:i/>
                <w:iCs/>
                <w:lang w:eastAsia="ru-RU"/>
              </w:rPr>
              <w:t xml:space="preserve">Калининградская область</w:t>
            </w:r>
            <w:r>
              <w:rPr>
                <w:rFonts w:eastAsia="Times New Roman"/>
                <w:color w:val="124f1a" w:themeColor="accent3" w:themeShade="BF"/>
                <w:lang w:eastAsia="ru-RU"/>
              </w:rPr>
            </w:r>
            <w:r>
              <w:rPr>
                <w:rFonts w:eastAsia="Times New Roman"/>
                <w:color w:val="124f1a" w:themeColor="accent3" w:themeShade="BF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MUNICIPALITY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полное наименование муниципального образования / городского округа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Пример: </w:t>
            </w:r>
            <w:r>
              <w:rPr>
                <w:rFonts w:eastAsia="Times New Roman"/>
                <w:i/>
                <w:iCs/>
                <w:lang w:eastAsia="ru-RU"/>
              </w:rPr>
              <w:t xml:space="preserve">Городской округ «Город Калининград»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TITLE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полное наименование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Администрация городского округа "Город Калининград"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6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SHORT_TITLE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сокращенное наименование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Администрация ГО "Город Калининград"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7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ADDRESS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полный адрес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236022, г. Калининград, пл. Победы, 1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8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SCHEDULE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график работы уполномоченного органа, оказывающего услугу, в свободной форме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</w:t>
            </w:r>
            <w:r>
              <w:rPr>
                <w:rFonts w:eastAsia="Times New Roman"/>
                <w:i/>
                <w:iCs/>
                <w:lang w:eastAsia="ru-RU"/>
              </w:rPr>
              <w:t xml:space="preserve">пн-пт</w:t>
            </w:r>
            <w:r>
              <w:rPr>
                <w:rFonts w:eastAsia="Times New Roman"/>
                <w:i/>
                <w:iCs/>
                <w:lang w:eastAsia="ru-RU"/>
              </w:rPr>
              <w:t xml:space="preserve"> - 09:00 - 18:00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9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PHONE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номер телефона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+7 (4012) 31-10-31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10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EMAIL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электронная почта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cityhall@klgd.ru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>
          <w:trHeight w:val="612"/>
        </w:trPr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REGOKATO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ОКАТО муниципального образования/ городского округа 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27401000000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12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SLOTPERCENT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не требуется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 w:themeColor="text1"/>
                <w:lang w:val="en-US" w:eastAsia="ru-RU"/>
              </w:rPr>
              <w:t xml:space="preserve">13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INN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ИНН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3903016790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14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TYPE_SERVICE_CODE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ind w:left="57"/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не требуется</w:t>
            </w:r>
            <w:r>
              <w:rPr>
                <w:rFonts w:eastAsia="Times New Roman"/>
                <w:i/>
                <w:iCs/>
                <w:lang w:eastAsia="ru-RU"/>
              </w:rPr>
            </w:r>
            <w:r>
              <w:rPr>
                <w:rFonts w:eastAsia="Times New Roman"/>
                <w:i/>
                <w:iCs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15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KPP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КПП уполномоченного органа, оказывающего услугу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390601001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16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OKTMO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ОКТМО муниципального образования/городского округа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Пример: 27701000001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17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Availability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не требуется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18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SERVICE_PROVIDER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не требуется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19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redevelopmentVisitInspection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не требуется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val="en-US" w:eastAsia="ru-RU"/>
              </w:rPr>
              <w:t xml:space="preserve">20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FIELD_ID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Указывается значение атрибутов 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CODE</w:t>
            </w:r>
            <w:r>
              <w:rPr>
                <w:rFonts w:eastAsia="Times New Roman"/>
                <w:i/>
                <w:iCs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и 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SERVICE_CODE </w:t>
            </w:r>
            <w:r>
              <w:rPr>
                <w:rFonts w:eastAsia="Times New Roman"/>
                <w:color w:val="000000"/>
                <w:lang w:eastAsia="ru-RU"/>
              </w:rPr>
              <w:t xml:space="preserve">через нижнее подчеркивание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Пример: </w:t>
            </w:r>
            <w:r>
              <w:rPr>
                <w:rFonts w:eastAsia="Times New Roman"/>
                <w:i/>
                <w:iCs/>
                <w:color w:val="000000"/>
                <w:lang w:val="en-US" w:eastAsia="ru-RU"/>
              </w:rPr>
              <w:t xml:space="preserve">CODE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 =</w:t>
            </w:r>
            <w:r>
              <w:t xml:space="preserve"> 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1023900770222, </w:t>
            </w:r>
            <w:r>
              <w:rPr>
                <w:rFonts w:eastAsia="Times New Roman"/>
                <w:i/>
                <w:iCs/>
                <w:color w:val="000000"/>
                <w:lang w:val="en-US" w:eastAsia="ru-RU"/>
              </w:rPr>
              <w:t xml:space="preserve">SERVICE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_</w:t>
            </w:r>
            <w:r>
              <w:rPr>
                <w:rFonts w:eastAsia="Times New Roman"/>
                <w:i/>
                <w:iCs/>
                <w:color w:val="000000"/>
                <w:lang w:val="en-US" w:eastAsia="ru-RU"/>
              </w:rPr>
              <w:t xml:space="preserve">CODE</w:t>
            </w:r>
            <w:r>
              <w:rPr>
                <w:rFonts w:eastAsia="Times New Roman"/>
                <w:i/>
                <w:iCs/>
                <w:color w:val="000000"/>
                <w:lang w:eastAsia="ru-RU"/>
              </w:rPr>
              <w:t xml:space="preserve"> = 643291643221. Значение данного атрибута будет 1023900770222_643291643221</w:t>
            </w: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21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NTO_PLACE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</w: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22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NTO_CONTRACT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23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lang w:val="en-US"/>
              </w:rPr>
              <w:t xml:space="preserve">FAIR</w:t>
            </w:r>
            <w:r>
              <w:t xml:space="preserve">_PLACE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24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lang w:val="en-US"/>
              </w:rPr>
              <w:t xml:space="preserve">FAIR</w:t>
            </w:r>
            <w:r>
              <w:t xml:space="preserve">_</w:t>
            </w:r>
            <w:r>
              <w:rPr>
                <w:lang w:val="en-US"/>
              </w:rPr>
              <w:t xml:space="preserve">MUN</w:t>
            </w:r>
            <w:r>
              <w:t xml:space="preserve">PERMISSION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25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lang w:val="en-US"/>
              </w:rPr>
              <w:t xml:space="preserve">FAIR</w:t>
            </w:r>
            <w:r>
              <w:t xml:space="preserve">_</w:t>
            </w:r>
            <w:r>
              <w:rPr>
                <w:lang w:val="en-US"/>
              </w:rPr>
              <w:t xml:space="preserve">PR</w:t>
            </w:r>
            <w:r>
              <w:t xml:space="preserve">PERMISSION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26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lang w:val="en-US"/>
              </w:rPr>
              <w:t xml:space="preserve">FAIR</w:t>
            </w:r>
            <w:r>
              <w:t xml:space="preserve">_INFO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27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lang w:val="en-US"/>
              </w:rPr>
              <w:t xml:space="preserve">FAIR</w:t>
            </w:r>
            <w:r>
              <w:t xml:space="preserve">_RESULT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«Торговля».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85_Инструкция по созданию и наполнению справочников-доноров в ЕСНСИ 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28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AD_PERMISSION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  <w14:ligatures w14:val="non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«Реклама». Усл</w:t>
            </w:r>
            <w:r>
              <w:rPr>
                <w:rFonts w:eastAsia="Times New Roman"/>
                <w:highlight w:val="white"/>
                <w:lang w:eastAsia="ru-RU"/>
              </w:rPr>
              <w:t xml:space="preserve">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«115_Инструкция по созданию и наполнению справочников-доно</w:t>
            </w:r>
            <w:r>
              <w:rPr>
                <w:rFonts w:eastAsia="Times New Roman"/>
                <w:highlight w:val="white"/>
                <w:lang w:eastAsia="ru-RU"/>
              </w:rPr>
              <w:t xml:space="preserve">ров</w:t>
            </w:r>
            <w:r>
              <w:rPr>
                <w:rFonts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highlight w:val="white"/>
                <w:lang w:eastAsia="ru-RU"/>
              </w:rPr>
              <w:t xml:space="preserve">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  <w14:ligatures w14:val="none"/>
              </w:rPr>
            </w:r>
            <w:r>
              <w:rPr>
                <w:rFonts w:eastAsia="Times New Roman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29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AD_PLACE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«Реклама».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115_Инструкция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30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AD_CONTRACT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«Реклама».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115_Инструкция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31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AD_SOCIETAL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«Реклама».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115_Инструкция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32</w:t>
            </w:r>
            <w:r>
              <w:rPr>
                <w:rFonts w:eastAsia="Times New Roman"/>
                <w:color w:val="000000" w:themeColor="text1"/>
                <w:lang w:eastAsia="ru-RU"/>
              </w:rPr>
            </w:r>
            <w:r>
              <w:rPr>
                <w:rFonts w:eastAsia="Times New Roman"/>
                <w:color w:val="000000" w:themeColor="text1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AD_REPORT</w:t>
            </w:r>
            <w:r>
              <w:rPr>
                <w:rFonts w:eastAsia="Times New Roman"/>
                <w:color w:val="000000"/>
                <w:lang w:eastAsia="ru-RU"/>
              </w:rPr>
            </w: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Mar>
              <w:left w:w="150" w:type="dxa"/>
              <w:top w:w="105" w:type="dxa"/>
              <w:right w:w="150" w:type="dxa"/>
              <w:bottom w:w="105" w:type="dxa"/>
            </w:tcMar>
            <w:tcW w:w="0" w:type="auto"/>
            <w:textDirection w:val="lrTb"/>
            <w:noWrap w:val="false"/>
          </w:tcPr>
          <w:p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  <w:lang w:eastAsia="ru-RU"/>
              </w:rPr>
              <w:t xml:space="preserve">Заполнение атрибута требуется при подключении к Сервису «Реклама». Условия заполнения см. в файле </w:t>
            </w:r>
            <w:r>
              <w:rPr>
                <w:rFonts w:eastAsia="Times New Roman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highlight w:val="white"/>
                <w:lang w:eastAsia="ru-RU"/>
              </w:rPr>
              <w:t xml:space="preserve">115_Инструкция по созданию и наполнению справочников-доноров в ЕСНСИ</w:t>
            </w:r>
            <w:r>
              <w:rPr>
                <w:rFonts w:eastAsia="Times New Roman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highlight w:val="white"/>
              </w:rPr>
            </w:r>
            <w:r>
              <w:rPr>
                <w:rFonts w:eastAsia="Times New Roman"/>
                <w:highlight w:val="white"/>
              </w:rPr>
            </w:r>
          </w:p>
        </w:tc>
      </w:tr>
    </w:tbl>
    <w:p>
      <w:pPr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pStyle w:val="856"/>
        <w:ind w:left="0" w:firstLine="0"/>
      </w:pPr>
      <w:r/>
      <w:bookmarkStart w:id="5" w:name="_Toc216964497"/>
      <w:r>
        <w:t xml:space="preserve">Описание преобразования столбцов</w:t>
      </w:r>
      <w:r>
        <w:t xml:space="preserve"> CODE и SERVICE_CODE</w:t>
      </w:r>
      <w:bookmarkEnd w:id="5"/>
      <w:r/>
      <w:r/>
    </w:p>
    <w:p>
      <w:r/>
      <w:r/>
    </w:p>
    <w:p>
      <w:pPr>
        <w:pStyle w:val="883"/>
        <w:numPr>
          <w:ilvl w:val="0"/>
          <w:numId w:val="7"/>
        </w:numPr>
        <w:ind w:left="0" w:firstLine="709"/>
        <w:spacing w:after="160" w:line="278" w:lineRule="auto"/>
      </w:pPr>
      <w:r>
        <w:t xml:space="preserve">Выделите значения внутри столбцов. </w:t>
      </w:r>
      <w:r/>
    </w:p>
    <w:p>
      <w:pPr>
        <w:pStyle w:val="883"/>
        <w:numPr>
          <w:ilvl w:val="0"/>
          <w:numId w:val="7"/>
        </w:numPr>
        <w:ind w:left="0" w:firstLine="709"/>
        <w:spacing w:after="160" w:line="278" w:lineRule="auto"/>
      </w:pPr>
      <w:r>
        <w:t xml:space="preserve">Нажмите на выбор формата отображения значений в ячейках и в открывшемся списке выберете «Другие числовые форматы»</w:t>
      </w:r>
      <w:r>
        <w:t xml:space="preserve"> (рис. 3)</w:t>
      </w:r>
      <w:r>
        <w:t xml:space="preserve">.</w:t>
      </w:r>
      <w:r/>
    </w:p>
    <w:p>
      <w:pPr>
        <w:jc w:val="center"/>
        <w:keepNext/>
        <w:spacing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67931" cy="3050543"/>
                <wp:effectExtent l="0" t="0" r="4445" b="0"/>
                <wp:docPr id="3" name="Рисунок 1" descr="Изображение выглядит как текст, снимок экрана, число, Параллельный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0531570" name="Рисунок 1" descr="Изображение выглядит как текст, снимок экрана, число, Параллельный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175070" cy="30557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28.18pt;height:240.2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903"/>
        <w:jc w:val="center"/>
        <w:rPr>
          <w:i w:val="0"/>
          <w:iCs w:val="0"/>
          <w:color w:val="auto"/>
          <w:sz w:val="36"/>
          <w:szCs w:val="36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3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Преобразование значений в ячейках</w:t>
      </w:r>
      <w:r>
        <w:rPr>
          <w:i w:val="0"/>
          <w:iCs w:val="0"/>
          <w:color w:val="auto"/>
          <w:sz w:val="36"/>
          <w:szCs w:val="36"/>
        </w:rPr>
      </w:r>
      <w:r>
        <w:rPr>
          <w:i w:val="0"/>
          <w:iCs w:val="0"/>
          <w:color w:val="auto"/>
          <w:sz w:val="36"/>
          <w:szCs w:val="36"/>
        </w:rPr>
      </w:r>
    </w:p>
    <w:p>
      <w:pPr>
        <w:pStyle w:val="883"/>
        <w:numPr>
          <w:ilvl w:val="0"/>
          <w:numId w:val="7"/>
        </w:numPr>
        <w:ind w:left="0" w:firstLine="709"/>
        <w:spacing w:after="160" w:line="278" w:lineRule="auto"/>
      </w:pPr>
      <w:r>
        <w:t xml:space="preserve">Выберите формат «Числовой» в левой части открывшегося окна. В поле «Число десятичных знаков» укажите значение 0</w:t>
      </w:r>
      <w:r>
        <w:t xml:space="preserve"> (рис</w:t>
      </w:r>
      <w:r>
        <w:t xml:space="preserve">. 4)</w:t>
      </w:r>
      <w:r>
        <w:t xml:space="preserve">.</w:t>
      </w:r>
      <w:r/>
    </w:p>
    <w:p>
      <w:pPr>
        <w:pStyle w:val="903"/>
        <w:jc w:val="center"/>
        <w:spacing w:after="0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68925" cy="4319244"/>
                <wp:effectExtent l="0" t="0" r="3175" b="5715"/>
                <wp:docPr id="4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8842319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372273" cy="4321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22.75pt;height:340.1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pPr>
        <w:pStyle w:val="903"/>
        <w:jc w:val="center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4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Выбор формата значений в ячейках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pPr>
        <w:pStyle w:val="883"/>
        <w:numPr>
          <w:ilvl w:val="0"/>
          <w:numId w:val="7"/>
        </w:numPr>
        <w:spacing w:after="160" w:line="278" w:lineRule="auto"/>
      </w:pPr>
      <w:r>
        <w:t xml:space="preserve">Нажмите «Ок». Значения в данных столбцах преобразуются</w:t>
      </w:r>
      <w:r>
        <w:t xml:space="preserve"> (рис. 5)</w:t>
      </w:r>
      <w:r/>
    </w:p>
    <w:p>
      <w:pPr>
        <w:jc w:val="center"/>
        <w:keepNext/>
        <w:spacing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03091" cy="3352800"/>
                <wp:effectExtent l="0" t="0" r="2540" b="0"/>
                <wp:docPr id="5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5417903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312297" cy="33662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81.35pt;height:264.0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903"/>
        <w:jc w:val="center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5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Результат преобразования данных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r/>
      <w:r/>
    </w:p>
    <w:p>
      <w:r/>
      <w:r/>
    </w:p>
    <w:p>
      <w:pPr>
        <w:pStyle w:val="856"/>
        <w:ind w:left="0" w:firstLine="0"/>
      </w:pPr>
      <w:r/>
      <w:bookmarkStart w:id="6" w:name="_Toc216964498"/>
      <w:r/>
      <w:bookmarkEnd w:id="3"/>
      <w:r>
        <w:t xml:space="preserve">Наполнение справочника-донора уполномоченных органов</w:t>
      </w:r>
      <w:bookmarkEnd w:id="6"/>
      <w:r/>
      <w:r/>
    </w:p>
    <w:p>
      <w:pPr>
        <w:ind w:firstLine="709"/>
      </w:pPr>
      <w:r>
        <w:t xml:space="preserve">После успешной подачи заявки в ФГИС СЦ необходимо дождаться изменения статуса запроса на «Закрыт» и детализации статуса «Решен». Это означает, что справочник был создан.</w:t>
      </w:r>
      <w:r/>
    </w:p>
    <w:p>
      <w:pPr>
        <w:pStyle w:val="883"/>
        <w:numPr>
          <w:ilvl w:val="0"/>
          <w:numId w:val="6"/>
        </w:numPr>
        <w:ind w:left="0" w:firstLine="709"/>
        <w:spacing w:after="160" w:line="278" w:lineRule="auto"/>
      </w:pPr>
      <w:r>
        <w:t xml:space="preserve">Для наполнения данными справочник:</w:t>
      </w:r>
      <w:r/>
    </w:p>
    <w:p>
      <w:pPr>
        <w:pStyle w:val="883"/>
        <w:numPr>
          <w:ilvl w:val="1"/>
          <w:numId w:val="6"/>
        </w:numPr>
        <w:ind w:left="426" w:firstLine="709"/>
        <w:spacing w:after="160" w:line="278" w:lineRule="auto"/>
      </w:pPr>
      <w:r>
        <w:t xml:space="preserve">в тестовой среде - перейдите в ТЕСНСИ по ссылке: </w:t>
      </w:r>
      <w:r/>
    </w:p>
    <w:p>
      <w:pPr>
        <w:pStyle w:val="883"/>
        <w:ind w:left="426" w:firstLine="709"/>
      </w:pPr>
      <w:r/>
      <w:hyperlink r:id="rId17" w:tooltip="https://esnsi.test.gosuslugi.ru/classifiers?p=1" w:history="1">
        <w:r>
          <w:rPr>
            <w:rStyle w:val="896"/>
          </w:rPr>
          <w:t xml:space="preserve">https://esnsi.test.gosuslugi.ru/classifiers?p=1</w:t>
        </w:r>
      </w:hyperlink>
      <w:r/>
      <w:r/>
    </w:p>
    <w:p>
      <w:pPr>
        <w:pStyle w:val="883"/>
        <w:numPr>
          <w:ilvl w:val="1"/>
          <w:numId w:val="6"/>
        </w:numPr>
        <w:ind w:left="426" w:firstLine="709"/>
        <w:spacing w:after="160" w:line="278" w:lineRule="auto"/>
      </w:pPr>
      <w:r>
        <w:t xml:space="preserve">в продуктивной среде - перейдите в ЕСНСИ по ссылке:</w:t>
      </w:r>
      <w:r/>
    </w:p>
    <w:p>
      <w:pPr>
        <w:pStyle w:val="883"/>
        <w:ind w:left="426" w:firstLine="709"/>
      </w:pPr>
      <w:r/>
      <w:hyperlink r:id="rId18" w:tooltip="https://esnsi.gosuslugi.ru/classifiers?p=1" w:history="1">
        <w:r>
          <w:rPr>
            <w:rStyle w:val="896"/>
          </w:rPr>
          <w:t xml:space="preserve">https://esnsi.gosuslugi.ru/classifiers?p=1</w:t>
        </w:r>
      </w:hyperlink>
      <w:r/>
      <w:r/>
    </w:p>
    <w:p>
      <w:pPr>
        <w:pStyle w:val="883"/>
        <w:numPr>
          <w:ilvl w:val="0"/>
          <w:numId w:val="6"/>
        </w:numPr>
        <w:ind w:left="0" w:firstLine="709"/>
        <w:spacing w:after="160" w:line="278" w:lineRule="auto"/>
      </w:pPr>
      <w:r>
        <w:t xml:space="preserve">Авторизируйтесь и в строке поиска укажите код справочника-донора, который указывался вами в файле при подаче заявки.  Перейдите в справочник, просто нажав на него</w:t>
      </w:r>
      <w:r>
        <w:t xml:space="preserve"> (рис. 6)</w:t>
      </w:r>
      <w:r/>
    </w:p>
    <w:p>
      <w:pPr>
        <w:keepNext/>
        <w:spacing w:line="240" w:lineRule="auto"/>
      </w:pPr>
      <w:r>
        <w:rPr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465070"/>
                <wp:effectExtent l="0" t="0" r="3175" b="0"/>
                <wp:docPr id="6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200688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5" cy="2465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194.1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903"/>
        <w:jc w:val="center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6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Вид справочника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pPr>
        <w:pStyle w:val="883"/>
        <w:numPr>
          <w:ilvl w:val="0"/>
          <w:numId w:val="6"/>
        </w:numPr>
        <w:spacing w:after="160" w:line="278" w:lineRule="auto"/>
      </w:pPr>
      <w:r>
        <w:t xml:space="preserve">На открывшейся странице нажмите кнопку «Обновить из файла»</w:t>
      </w:r>
      <w:r>
        <w:t xml:space="preserve"> (рис. 7).</w:t>
      </w:r>
      <w:r/>
    </w:p>
    <w:p>
      <w:pPr>
        <w:keepNext/>
        <w:spacing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125855"/>
                <wp:effectExtent l="0" t="0" r="3175" b="0"/>
                <wp:docPr id="7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792081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5" cy="1125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88.6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903"/>
        <w:jc w:val="center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Рисунок </w:t>
      </w:r>
      <w:r>
        <w:rPr>
          <w:i w:val="0"/>
          <w:iCs w:val="0"/>
          <w:color w:val="auto"/>
          <w:sz w:val="24"/>
          <w:szCs w:val="24"/>
        </w:rPr>
        <w:fldChar w:fldCharType="begin"/>
      </w:r>
      <w:r>
        <w:rPr>
          <w:i w:val="0"/>
          <w:iCs w:val="0"/>
          <w:color w:val="auto"/>
          <w:sz w:val="24"/>
          <w:szCs w:val="24"/>
        </w:rPr>
        <w:instrText xml:space="preserve"> SEQ Рисунок \* ARABIC </w:instrText>
      </w:r>
      <w:r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color w:val="auto"/>
          <w:sz w:val="24"/>
          <w:szCs w:val="24"/>
        </w:rPr>
        <w:t xml:space="preserve">7</w:t>
      </w:r>
      <w:r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. </w:t>
      </w:r>
      <w:r>
        <w:rPr>
          <w:i w:val="0"/>
          <w:iCs w:val="0"/>
          <w:color w:val="auto"/>
          <w:sz w:val="24"/>
          <w:szCs w:val="24"/>
        </w:rPr>
        <w:t xml:space="preserve">Страница выбора действий со справочником</w:t>
      </w:r>
      <w:r>
        <w:rPr>
          <w:i w:val="0"/>
          <w:iCs w:val="0"/>
          <w:color w:val="auto"/>
          <w:sz w:val="24"/>
          <w:szCs w:val="24"/>
        </w:rPr>
      </w:r>
      <w:r>
        <w:rPr>
          <w:i w:val="0"/>
          <w:iCs w:val="0"/>
          <w:color w:val="auto"/>
          <w:sz w:val="24"/>
          <w:szCs w:val="24"/>
        </w:rPr>
      </w:r>
    </w:p>
    <w:p>
      <w:pPr>
        <w:pStyle w:val="883"/>
        <w:numPr>
          <w:ilvl w:val="0"/>
          <w:numId w:val="6"/>
        </w:numPr>
        <w:ind w:left="0" w:firstLine="709"/>
        <w:spacing w:after="160" w:line="278" w:lineRule="auto"/>
      </w:pPr>
      <w:r>
        <w:t xml:space="preserve">Загрузите заполненный </w:t>
      </w:r>
      <w:r>
        <w:rPr>
          <w:lang w:val="en-US"/>
        </w:rPr>
        <w:t xml:space="preserve">CSV</w:t>
      </w:r>
      <w:r>
        <w:t xml:space="preserve"> файл. </w:t>
      </w:r>
      <w:r/>
    </w:p>
    <w:p>
      <w:pPr>
        <w:pStyle w:val="883"/>
        <w:numPr>
          <w:ilvl w:val="0"/>
          <w:numId w:val="12"/>
        </w:numPr>
        <w:ind w:left="0" w:firstLine="709"/>
      </w:pPr>
      <w:r>
        <w:t xml:space="preserve">В блоке «Кодировка» укажите «Windows-1251 (является стандартом для CSV файлов)».</w:t>
      </w:r>
      <w:r/>
    </w:p>
    <w:p>
      <w:pPr>
        <w:pStyle w:val="883"/>
        <w:numPr>
          <w:ilvl w:val="0"/>
          <w:numId w:val="12"/>
        </w:numPr>
        <w:ind w:left="0" w:firstLine="709"/>
      </w:pPr>
      <w:r>
        <w:t xml:space="preserve">В блоке «Параметры обновления»: «С удалением всех записей, отсутствующих в файле обновления».</w:t>
      </w:r>
      <w:r/>
    </w:p>
    <w:p>
      <w:pPr>
        <w:pStyle w:val="883"/>
        <w:numPr>
          <w:ilvl w:val="0"/>
          <w:numId w:val="6"/>
        </w:numPr>
        <w:ind w:left="0" w:firstLine="709"/>
        <w:spacing w:after="160" w:line="278" w:lineRule="auto"/>
      </w:pPr>
      <w:r>
        <w:t xml:space="preserve">Нажмите «Сохранить». При успешной загрузке данных в справочнике появятся записи.</w:t>
      </w:r>
      <w:r/>
    </w:p>
    <w:p>
      <w:pPr>
        <w:pStyle w:val="883"/>
      </w:pPr>
      <w:r/>
      <w:r/>
    </w:p>
    <w:p>
      <w:pPr>
        <w:pStyle w:val="856"/>
        <w:ind w:left="0" w:firstLine="0"/>
      </w:pPr>
      <w:r/>
      <w:bookmarkStart w:id="7" w:name="_Toc216964499"/>
      <w:r>
        <w:t xml:space="preserve">Справочник донор для ЕЛК</w:t>
      </w:r>
      <w:bookmarkEnd w:id="7"/>
      <w:r/>
      <w:r/>
    </w:p>
    <w:p>
      <w:pPr>
        <w:spacing w:line="240" w:lineRule="auto"/>
      </w:pPr>
      <w:r/>
      <w:r/>
    </w:p>
    <w:p>
      <w:pPr>
        <w:ind w:firstLine="709"/>
        <w:spacing w:after="240" w:line="276" w:lineRule="auto"/>
        <w:rPr>
          <w:rFonts w:eastAsia="Times New Roman"/>
        </w:rPr>
      </w:pPr>
      <w:r>
        <w:rPr>
          <w:rFonts w:eastAsia="Times New Roman"/>
        </w:rPr>
        <w:t xml:space="preserve">В процессе предоставления услуг заявителю должны автоматически направляться уведомления и статусы по поданному заявлению. Для реализации данного функционала каждому уполномоченному органу, который предоставляет услуги / отдельные </w:t>
      </w:r>
      <w:r>
        <w:rPr>
          <w:rFonts w:eastAsia="Times New Roman"/>
        </w:rPr>
        <w:t xml:space="preserve">подуслуги</w:t>
      </w:r>
      <w:r>
        <w:rPr>
          <w:rFonts w:eastAsia="Times New Roman"/>
        </w:rPr>
        <w:t xml:space="preserve">, необходимо в продуктивной среде ФГИС ЕСНСНИ внести сведения в справочник донор соответствующего субъекта Российской Федерации. У данного справочника справочником-агрегатором является «ЕЛК. Организации-отправители» (ORGANIZATIONS_SENDERS).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ind w:firstLine="709"/>
        <w:spacing w:before="240" w:after="240"/>
        <w:rPr>
          <w:rFonts w:eastAsia="Times New Roman"/>
          <w:color w:val="1155cc"/>
          <w:u w:val="single"/>
        </w:rPr>
      </w:pPr>
      <w:r>
        <w:rPr>
          <w:rFonts w:eastAsia="Times New Roman"/>
        </w:rPr>
        <w:t xml:space="preserve">Подробная инструкция по заполнению справочника-донора для ЕЛК доступна по ссылке:</w:t>
      </w:r>
      <w:r>
        <w:rPr>
          <w:rFonts w:eastAsia="Times New Roman"/>
        </w:rPr>
        <w:t xml:space="preserve"> </w:t>
      </w:r>
      <w:hyperlink r:id="rId21" w:tooltip="https://info.gosuslugi.ru/articles/%D0%94%D0%BB%D1%8F_%D1%81%D1%83%D0%B1%D1%8A%D0%B5%D0%BA%D1%82%D0%BE%D0%B2_%D0%A0%D0%A4/" w:history="1">
        <w:r>
          <w:rPr>
            <w:rFonts w:eastAsia="Times New Roman"/>
            <w:color w:val="1155cc"/>
            <w:u w:val="single"/>
          </w:rPr>
          <w:t xml:space="preserve">htps://info.gosuslugi.ru/articles/Для_субъектов_РФ/</w:t>
        </w:r>
      </w:hyperlink>
      <w:r>
        <w:rPr>
          <w:rFonts w:eastAsia="Times New Roman"/>
          <w:color w:val="1155cc"/>
          <w:u w:val="single"/>
        </w:rPr>
      </w:r>
      <w:r>
        <w:rPr>
          <w:rFonts w:eastAsia="Times New Roman"/>
          <w:color w:val="1155cc"/>
          <w:u w:val="single"/>
        </w:rPr>
      </w:r>
    </w:p>
    <w:p>
      <w:r/>
      <w:r/>
    </w:p>
    <w:p>
      <w:pPr>
        <w:spacing w:after="160" w:line="278" w:lineRule="auto"/>
      </w:pPr>
      <w:r/>
      <w:r/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1134" w:left="1701" w:header="709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2414912"/>
      <w:docPartObj>
        <w:docPartGallery w:val="Page Numbers (Bottom of Page)"/>
        <w:docPartUnique w:val="true"/>
      </w:docPartObj>
      <w:rPr/>
    </w:sdtPr>
    <w:sdtContent>
      <w:p>
        <w:pPr>
          <w:pStyle w:val="90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5">
    <w:multiLevelType w:val="hybridMultilevel"/>
    <w:lvl w:ilvl="0">
      <w:start w:val="1"/>
      <w:numFmt w:val="decimal"/>
      <w:pStyle w:val="856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213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5"/>
  </w:num>
  <w:num w:numId="11">
    <w:abstractNumId w:val="5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865"/>
    <w:link w:val="856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865"/>
    <w:link w:val="857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865"/>
    <w:link w:val="858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basedOn w:val="865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basedOn w:val="865"/>
    <w:link w:val="860"/>
    <w:uiPriority w:val="9"/>
    <w:rPr>
      <w:rFonts w:ascii="Arial" w:hAnsi="Arial" w:eastAsia="Arial" w:cs="Arial"/>
      <w:b/>
      <w:bCs/>
      <w:sz w:val="24"/>
      <w:szCs w:val="24"/>
    </w:rPr>
  </w:style>
  <w:style w:type="character" w:styleId="704">
    <w:name w:val="Heading 6 Char"/>
    <w:basedOn w:val="865"/>
    <w:link w:val="861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Heading 7 Char"/>
    <w:basedOn w:val="865"/>
    <w:link w:val="8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8 Char"/>
    <w:basedOn w:val="865"/>
    <w:link w:val="863"/>
    <w:uiPriority w:val="9"/>
    <w:rPr>
      <w:rFonts w:ascii="Arial" w:hAnsi="Arial" w:eastAsia="Arial" w:cs="Arial"/>
      <w:i/>
      <w:iCs/>
      <w:sz w:val="22"/>
      <w:szCs w:val="22"/>
    </w:rPr>
  </w:style>
  <w:style w:type="character" w:styleId="707">
    <w:name w:val="Heading 9 Char"/>
    <w:basedOn w:val="865"/>
    <w:link w:val="864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65"/>
    <w:link w:val="877"/>
    <w:uiPriority w:val="10"/>
    <w:rPr>
      <w:sz w:val="48"/>
      <w:szCs w:val="48"/>
    </w:rPr>
  </w:style>
  <w:style w:type="character" w:styleId="709">
    <w:name w:val="Subtitle Char"/>
    <w:basedOn w:val="865"/>
    <w:link w:val="879"/>
    <w:uiPriority w:val="11"/>
    <w:rPr>
      <w:sz w:val="24"/>
      <w:szCs w:val="24"/>
    </w:rPr>
  </w:style>
  <w:style w:type="character" w:styleId="710">
    <w:name w:val="Quote Char"/>
    <w:link w:val="881"/>
    <w:uiPriority w:val="29"/>
    <w:rPr>
      <w:i/>
    </w:rPr>
  </w:style>
  <w:style w:type="character" w:styleId="711">
    <w:name w:val="Intense Quote Char"/>
    <w:link w:val="885"/>
    <w:uiPriority w:val="30"/>
    <w:rPr>
      <w:i/>
    </w:rPr>
  </w:style>
  <w:style w:type="character" w:styleId="712">
    <w:name w:val="Header Char"/>
    <w:basedOn w:val="865"/>
    <w:link w:val="899"/>
    <w:uiPriority w:val="99"/>
  </w:style>
  <w:style w:type="character" w:styleId="713">
    <w:name w:val="Footer Char"/>
    <w:basedOn w:val="865"/>
    <w:link w:val="901"/>
    <w:uiPriority w:val="99"/>
  </w:style>
  <w:style w:type="character" w:styleId="714">
    <w:name w:val="Caption Char"/>
    <w:basedOn w:val="903"/>
    <w:link w:val="901"/>
    <w:uiPriority w:val="99"/>
  </w:style>
  <w:style w:type="table" w:styleId="715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14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15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16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17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18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19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21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2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23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4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25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6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28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9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30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31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32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33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0">
    <w:name w:val="footnote text"/>
    <w:basedOn w:val="855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basedOn w:val="865"/>
    <w:uiPriority w:val="99"/>
    <w:unhideWhenUsed/>
    <w:rPr>
      <w:vertAlign w:val="superscript"/>
    </w:rPr>
  </w:style>
  <w:style w:type="paragraph" w:styleId="843">
    <w:name w:val="endnote text"/>
    <w:basedOn w:val="855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65"/>
    <w:uiPriority w:val="99"/>
    <w:semiHidden/>
    <w:unhideWhenUsed/>
    <w:rPr>
      <w:vertAlign w:val="superscript"/>
    </w:rPr>
  </w:style>
  <w:style w:type="paragraph" w:styleId="846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jc w:val="both"/>
      <w:spacing w:after="0" w:line="360" w:lineRule="auto"/>
    </w:pPr>
    <w:rPr>
      <w:rFonts w:ascii="Times New Roman" w:hAnsi="Times New Roman" w:cs="Times New Roman"/>
    </w:rPr>
  </w:style>
  <w:style w:type="paragraph" w:styleId="856">
    <w:name w:val="Heading 1"/>
    <w:basedOn w:val="888"/>
    <w:next w:val="855"/>
    <w:link w:val="868"/>
    <w:uiPriority w:val="9"/>
    <w:qFormat/>
    <w:pPr>
      <w:numPr>
        <w:ilvl w:val="0"/>
        <w:numId w:val="1"/>
      </w:numPr>
      <w:jc w:val="center"/>
      <w:outlineLvl w:val="0"/>
    </w:pPr>
    <w:rPr>
      <w:b/>
      <w:bCs/>
    </w:rPr>
  </w:style>
  <w:style w:type="paragraph" w:styleId="857">
    <w:name w:val="Heading 2"/>
    <w:basedOn w:val="855"/>
    <w:next w:val="855"/>
    <w:link w:val="869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58">
    <w:name w:val="Heading 3"/>
    <w:basedOn w:val="855"/>
    <w:next w:val="855"/>
    <w:link w:val="870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59">
    <w:name w:val="Heading 4"/>
    <w:basedOn w:val="855"/>
    <w:next w:val="855"/>
    <w:link w:val="871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60">
    <w:name w:val="Heading 5"/>
    <w:basedOn w:val="855"/>
    <w:next w:val="855"/>
    <w:link w:val="872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61">
    <w:name w:val="Heading 6"/>
    <w:basedOn w:val="855"/>
    <w:next w:val="855"/>
    <w:link w:val="873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62">
    <w:name w:val="Heading 7"/>
    <w:basedOn w:val="855"/>
    <w:next w:val="855"/>
    <w:link w:val="874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63">
    <w:name w:val="Heading 8"/>
    <w:basedOn w:val="855"/>
    <w:next w:val="855"/>
    <w:link w:val="875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64">
    <w:name w:val="Heading 9"/>
    <w:basedOn w:val="855"/>
    <w:next w:val="855"/>
    <w:link w:val="876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865" w:default="1">
    <w:name w:val="Default Paragraph Font"/>
    <w:uiPriority w:val="1"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Заголовок 1 Знак"/>
    <w:basedOn w:val="865"/>
    <w:link w:val="856"/>
    <w:uiPriority w:val="9"/>
    <w:rPr>
      <w:rFonts w:ascii="Times New Roman" w:hAnsi="Times New Roman" w:cs="Times New Roman"/>
      <w:b/>
      <w:bCs/>
    </w:rPr>
  </w:style>
  <w:style w:type="character" w:styleId="869" w:customStyle="1">
    <w:name w:val="Заголовок 2 Знак"/>
    <w:basedOn w:val="865"/>
    <w:link w:val="857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70" w:customStyle="1">
    <w:name w:val="Заголовок 3 Знак"/>
    <w:basedOn w:val="865"/>
    <w:link w:val="858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71" w:customStyle="1">
    <w:name w:val="Заголовок 4 Знак"/>
    <w:basedOn w:val="865"/>
    <w:link w:val="859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72" w:customStyle="1">
    <w:name w:val="Заголовок 5 Знак"/>
    <w:basedOn w:val="865"/>
    <w:link w:val="860"/>
    <w:uiPriority w:val="9"/>
    <w:semiHidden/>
    <w:rPr>
      <w:rFonts w:eastAsiaTheme="majorEastAsia" w:cstheme="majorBidi"/>
      <w:color w:val="0f4761" w:themeColor="accent1" w:themeShade="BF"/>
    </w:rPr>
  </w:style>
  <w:style w:type="character" w:styleId="873" w:customStyle="1">
    <w:name w:val="Заголовок 6 Знак"/>
    <w:basedOn w:val="865"/>
    <w:link w:val="86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4" w:customStyle="1">
    <w:name w:val="Заголовок 7 Знак"/>
    <w:basedOn w:val="865"/>
    <w:link w:val="862"/>
    <w:uiPriority w:val="9"/>
    <w:semiHidden/>
    <w:rPr>
      <w:rFonts w:eastAsiaTheme="majorEastAsia" w:cstheme="majorBidi"/>
      <w:color w:val="595959" w:themeColor="text1" w:themeTint="A6"/>
    </w:rPr>
  </w:style>
  <w:style w:type="character" w:styleId="875" w:customStyle="1">
    <w:name w:val="Заголовок 8 Знак"/>
    <w:basedOn w:val="865"/>
    <w:link w:val="863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6" w:customStyle="1">
    <w:name w:val="Заголовок 9 Знак"/>
    <w:basedOn w:val="865"/>
    <w:link w:val="864"/>
    <w:uiPriority w:val="9"/>
    <w:semiHidden/>
    <w:rPr>
      <w:rFonts w:eastAsiaTheme="majorEastAsia" w:cstheme="majorBidi"/>
      <w:color w:val="272727" w:themeColor="text1" w:themeTint="D8"/>
    </w:rPr>
  </w:style>
  <w:style w:type="paragraph" w:styleId="877">
    <w:name w:val="Title"/>
    <w:basedOn w:val="855"/>
    <w:next w:val="855"/>
    <w:link w:val="878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78" w:customStyle="1">
    <w:name w:val="Заголовок Знак"/>
    <w:basedOn w:val="865"/>
    <w:link w:val="87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9">
    <w:name w:val="Subtitle"/>
    <w:basedOn w:val="855"/>
    <w:next w:val="855"/>
    <w:link w:val="88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80" w:customStyle="1">
    <w:name w:val="Подзаголовок Знак"/>
    <w:basedOn w:val="865"/>
    <w:link w:val="87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1">
    <w:name w:val="Quote"/>
    <w:basedOn w:val="855"/>
    <w:next w:val="855"/>
    <w:link w:val="882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2" w:customStyle="1">
    <w:name w:val="Цитата 2 Знак"/>
    <w:basedOn w:val="865"/>
    <w:link w:val="881"/>
    <w:uiPriority w:val="29"/>
    <w:rPr>
      <w:i/>
      <w:iCs/>
      <w:color w:val="404040" w:themeColor="text1" w:themeTint="BF"/>
    </w:rPr>
  </w:style>
  <w:style w:type="paragraph" w:styleId="883">
    <w:name w:val="List Paragraph"/>
    <w:basedOn w:val="855"/>
    <w:uiPriority w:val="34"/>
    <w:qFormat/>
    <w:pPr>
      <w:contextualSpacing/>
      <w:ind w:left="720"/>
    </w:pPr>
  </w:style>
  <w:style w:type="character" w:styleId="884">
    <w:name w:val="Intense Emphasis"/>
    <w:basedOn w:val="865"/>
    <w:uiPriority w:val="21"/>
    <w:qFormat/>
    <w:rPr>
      <w:i/>
      <w:iCs/>
      <w:color w:val="0f4761" w:themeColor="accent1" w:themeShade="BF"/>
    </w:rPr>
  </w:style>
  <w:style w:type="paragraph" w:styleId="885">
    <w:name w:val="Intense Quote"/>
    <w:basedOn w:val="855"/>
    <w:next w:val="855"/>
    <w:link w:val="886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6" w:customStyle="1">
    <w:name w:val="Выделенная цитата Знак"/>
    <w:basedOn w:val="865"/>
    <w:link w:val="885"/>
    <w:uiPriority w:val="30"/>
    <w:rPr>
      <w:i/>
      <w:iCs/>
      <w:color w:val="0f4761" w:themeColor="accent1" w:themeShade="BF"/>
    </w:rPr>
  </w:style>
  <w:style w:type="character" w:styleId="887">
    <w:name w:val="Intense Reference"/>
    <w:basedOn w:val="865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88">
    <w:name w:val="No Spacing"/>
    <w:basedOn w:val="855"/>
    <w:uiPriority w:val="1"/>
    <w:qFormat/>
  </w:style>
  <w:style w:type="character" w:styleId="889">
    <w:name w:val="annotation reference"/>
    <w:basedOn w:val="865"/>
    <w:uiPriority w:val="99"/>
    <w:semiHidden/>
    <w:unhideWhenUsed/>
    <w:rPr>
      <w:sz w:val="16"/>
      <w:szCs w:val="16"/>
    </w:rPr>
  </w:style>
  <w:style w:type="paragraph" w:styleId="890">
    <w:name w:val="annotation text"/>
    <w:basedOn w:val="855"/>
    <w:link w:val="891"/>
    <w:uiPriority w:val="99"/>
    <w:unhideWhenUsed/>
    <w:pPr>
      <w:spacing w:line="240" w:lineRule="auto"/>
    </w:pPr>
    <w:rPr>
      <w:sz w:val="20"/>
      <w:szCs w:val="20"/>
    </w:rPr>
  </w:style>
  <w:style w:type="character" w:styleId="891" w:customStyle="1">
    <w:name w:val="Текст примечания Знак"/>
    <w:basedOn w:val="865"/>
    <w:link w:val="890"/>
    <w:uiPriority w:val="99"/>
    <w:rPr>
      <w:rFonts w:ascii="Times New Roman" w:hAnsi="Times New Roman" w:cs="Times New Roman"/>
      <w:sz w:val="20"/>
      <w:szCs w:val="20"/>
    </w:rPr>
  </w:style>
  <w:style w:type="paragraph" w:styleId="892">
    <w:name w:val="annotation subject"/>
    <w:basedOn w:val="890"/>
    <w:next w:val="890"/>
    <w:link w:val="893"/>
    <w:uiPriority w:val="99"/>
    <w:semiHidden/>
    <w:unhideWhenUsed/>
    <w:rPr>
      <w:b/>
      <w:bCs/>
    </w:rPr>
  </w:style>
  <w:style w:type="character" w:styleId="893" w:customStyle="1">
    <w:name w:val="Тема примечания Знак"/>
    <w:basedOn w:val="891"/>
    <w:link w:val="892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894">
    <w:name w:val="TOC Heading"/>
    <w:basedOn w:val="856"/>
    <w:next w:val="855"/>
    <w:uiPriority w:val="39"/>
    <w:unhideWhenUsed/>
    <w:qFormat/>
    <w:pPr>
      <w:numPr>
        <w:ilvl w:val="0"/>
        <w:numId w:val="0"/>
      </w:numPr>
      <w:jc w:val="left"/>
      <w:keepLines/>
      <w:keepNext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  <w:sz w:val="32"/>
      <w:szCs w:val="32"/>
      <w:lang w:eastAsia="ru-RU"/>
      <w14:ligatures w14:val="none"/>
    </w:rPr>
  </w:style>
  <w:style w:type="paragraph" w:styleId="895">
    <w:name w:val="toc 1"/>
    <w:basedOn w:val="855"/>
    <w:next w:val="855"/>
    <w:uiPriority w:val="39"/>
    <w:unhideWhenUsed/>
    <w:pPr>
      <w:spacing w:after="100"/>
    </w:pPr>
  </w:style>
  <w:style w:type="character" w:styleId="896">
    <w:name w:val="Hyperlink"/>
    <w:basedOn w:val="865"/>
    <w:uiPriority w:val="99"/>
    <w:unhideWhenUsed/>
    <w:rPr>
      <w:color w:val="467886" w:themeColor="hyperlink"/>
      <w:u w:val="single"/>
    </w:rPr>
  </w:style>
  <w:style w:type="table" w:styleId="897">
    <w:name w:val="Table Grid"/>
    <w:basedOn w:val="86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8">
    <w:name w:val="Unresolved Mention"/>
    <w:basedOn w:val="865"/>
    <w:uiPriority w:val="99"/>
    <w:semiHidden/>
    <w:unhideWhenUsed/>
    <w:rPr>
      <w:color w:val="605e5c"/>
      <w:shd w:val="clear" w:color="auto" w:fill="e1dfdd"/>
    </w:rPr>
  </w:style>
  <w:style w:type="paragraph" w:styleId="899">
    <w:name w:val="Header"/>
    <w:basedOn w:val="855"/>
    <w:link w:val="900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865"/>
    <w:link w:val="899"/>
    <w:uiPriority w:val="99"/>
    <w:rPr>
      <w:rFonts w:ascii="Times New Roman" w:hAnsi="Times New Roman" w:cs="Times New Roman"/>
    </w:rPr>
  </w:style>
  <w:style w:type="paragraph" w:styleId="901">
    <w:name w:val="Footer"/>
    <w:basedOn w:val="855"/>
    <w:link w:val="902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65"/>
    <w:link w:val="901"/>
    <w:uiPriority w:val="99"/>
    <w:rPr>
      <w:rFonts w:ascii="Times New Roman" w:hAnsi="Times New Roman" w:cs="Times New Roman"/>
    </w:rPr>
  </w:style>
  <w:style w:type="paragraph" w:styleId="903">
    <w:name w:val="Caption"/>
    <w:basedOn w:val="855"/>
    <w:next w:val="855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sc.digital.gov.ru/home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hyperlink" Target="https://esnsi.test.gosuslugi.ru/classifiers?p=1" TargetMode="External"/><Relationship Id="rId18" Type="http://schemas.openxmlformats.org/officeDocument/2006/relationships/hyperlink" Target="https://esnsi.gosuslugi.ru/classifiers?p=1" TargetMode="Externa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hyperlink" Target="https://info.gosuslugi.ru/articles/%D0%94%D0%BB%D1%8F_%D1%81%D1%83%D0%B1%D1%8A%D0%B5%D0%BA%D1%82%D0%BE%D0%B2_%D0%A0%D0%A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896A-92F7-4D43-B854-F0A8CD0B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Панкратов</dc:creator>
  <cp:keywords/>
  <dc:description/>
  <cp:lastModifiedBy>Владислав Мелихов</cp:lastModifiedBy>
  <cp:revision>169</cp:revision>
  <dcterms:created xsi:type="dcterms:W3CDTF">2025-12-17T16:10:00Z</dcterms:created>
  <dcterms:modified xsi:type="dcterms:W3CDTF">2025-12-19T08:48:08Z</dcterms:modified>
</cp:coreProperties>
</file>