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33"/>
        <w:tabs>
          <w:tab w:val="clear" w:pos="708"/>
          <w:tab w:val="left" w:pos="7042" w:leader="underscore"/>
        </w:tabs>
        <w:spacing w:lineRule="auto" w:line="240" w:before="0" w:after="0"/>
        <w:contextualSpacing/>
        <w:jc w:val="center"/>
        <w:rPr>
          <w:sz w:val="28"/>
          <w:szCs w:val="28"/>
        </w:rPr>
      </w:pPr>
      <w:r>
        <w:rPr>
          <w:sz w:val="28"/>
          <w:szCs w:val="28"/>
        </w:rPr>
        <w:t>ТИПОВАЯ ФОРМА</w:t>
      </w:r>
    </w:p>
    <w:p>
      <w:pPr>
        <w:pStyle w:val="33"/>
        <w:tabs>
          <w:tab w:val="clear" w:pos="708"/>
          <w:tab w:val="left" w:pos="7042" w:leader="underscore"/>
        </w:tabs>
        <w:spacing w:lineRule="auto" w:line="240" w:before="0" w:after="0"/>
        <w:contextualSpacing/>
        <w:jc w:val="center"/>
        <w:rPr>
          <w:sz w:val="28"/>
          <w:szCs w:val="28"/>
        </w:rPr>
      </w:pPr>
      <w:r>
        <w:rPr>
          <w:sz w:val="28"/>
          <w:szCs w:val="28"/>
        </w:rPr>
        <w:t xml:space="preserve">лицензионного договора о предоставлении права </w:t>
      </w:r>
      <w:bookmarkStart w:id="0" w:name="_Hlk195745478"/>
      <w:r>
        <w:rPr>
          <w:sz w:val="28"/>
          <w:szCs w:val="28"/>
        </w:rPr>
        <w:br/>
        <w:t>использования типового программного обеспечения</w:t>
      </w:r>
      <w:bookmarkStart w:id="1" w:name="_Hlk195744023"/>
      <w:r>
        <w:rPr>
          <w:sz w:val="28"/>
          <w:szCs w:val="28"/>
        </w:rPr>
        <w:t xml:space="preserve"> управления данными </w:t>
      </w:r>
      <w:bookmarkEnd w:id="0"/>
      <w:bookmarkEnd w:id="1"/>
    </w:p>
    <w:p>
      <w:pPr>
        <w:pStyle w:val="33"/>
        <w:tabs>
          <w:tab w:val="clear" w:pos="708"/>
          <w:tab w:val="left" w:pos="7042" w:leader="underscore"/>
        </w:tabs>
        <w:spacing w:lineRule="auto" w:line="240" w:before="0" w:after="0"/>
        <w:contextualSpacing/>
        <w:jc w:val="center"/>
        <w:rPr>
          <w:sz w:val="28"/>
          <w:szCs w:val="28"/>
        </w:rPr>
      </w:pPr>
      <w:r>
        <w:rPr>
          <w:sz w:val="28"/>
          <w:szCs w:val="28"/>
        </w:rPr>
      </w:r>
    </w:p>
    <w:tbl>
      <w:tblPr>
        <w:tblW w:w="9622" w:type="dxa"/>
        <w:jc w:val="left"/>
        <w:tblInd w:w="0" w:type="dxa"/>
        <w:tblLayout w:type="fixed"/>
        <w:tblCellMar>
          <w:top w:w="0" w:type="dxa"/>
          <w:left w:w="108" w:type="dxa"/>
          <w:bottom w:w="0" w:type="dxa"/>
          <w:right w:w="108" w:type="dxa"/>
        </w:tblCellMar>
      </w:tblPr>
      <w:tblGrid>
        <w:gridCol w:w="4812"/>
        <w:gridCol w:w="4810"/>
      </w:tblGrid>
      <w:tr>
        <w:trPr/>
        <w:tc>
          <w:tcPr>
            <w:tcW w:w="4812" w:type="dxa"/>
            <w:tcBorders/>
          </w:tcPr>
          <w:p>
            <w:pPr>
              <w:pStyle w:val="22"/>
              <w:shd w:fill="auto" w:val="clear"/>
              <w:tabs>
                <w:tab w:val="clear" w:pos="708"/>
                <w:tab w:val="left" w:pos="5971" w:leader="none"/>
                <w:tab w:val="left" w:pos="8558" w:leader="none"/>
              </w:tabs>
              <w:spacing w:lineRule="auto" w:line="240" w:before="0" w:after="0"/>
              <w:ind w:left="-110" w:right="0" w:hanging="0"/>
              <w:contextualSpacing/>
              <w:rPr>
                <w:sz w:val="28"/>
                <w:szCs w:val="28"/>
              </w:rPr>
            </w:pPr>
            <w:r>
              <w:rPr>
                <w:sz w:val="28"/>
                <w:szCs w:val="28"/>
              </w:rPr>
              <w:t>г. Москва</w:t>
            </w:r>
          </w:p>
        </w:tc>
        <w:tc>
          <w:tcPr>
            <w:tcW w:w="4810" w:type="dxa"/>
            <w:tcBorders/>
          </w:tcPr>
          <w:p>
            <w:pPr>
              <w:pStyle w:val="22"/>
              <w:shd w:fill="auto" w:val="clear"/>
              <w:tabs>
                <w:tab w:val="clear" w:pos="708"/>
                <w:tab w:val="left" w:pos="5971" w:leader="none"/>
                <w:tab w:val="left" w:pos="8558" w:leader="none"/>
              </w:tabs>
              <w:spacing w:lineRule="auto" w:line="240" w:before="0" w:after="0"/>
              <w:ind w:left="0" w:right="0" w:firstLine="706"/>
              <w:contextualSpacing/>
              <w:jc w:val="right"/>
              <w:rPr>
                <w:sz w:val="28"/>
                <w:szCs w:val="28"/>
              </w:rPr>
            </w:pPr>
            <w:r>
              <w:rPr>
                <w:sz w:val="28"/>
                <w:szCs w:val="28"/>
              </w:rPr>
              <w:t>«___» ______________ 20___ г.</w:t>
            </w:r>
          </w:p>
        </w:tc>
      </w:tr>
    </w:tbl>
    <w:p>
      <w:pPr>
        <w:pStyle w:val="33"/>
        <w:tabs>
          <w:tab w:val="clear" w:pos="708"/>
          <w:tab w:val="left" w:pos="7042" w:leader="underscore"/>
        </w:tabs>
        <w:spacing w:lineRule="auto" w:line="240" w:before="0" w:after="0"/>
        <w:contextualSpacing/>
        <w:jc w:val="center"/>
        <w:rPr/>
      </w:pPr>
      <w:r>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pPr>
      <w:r>
        <w:rPr>
          <w:rFonts w:cs="Times New Roman" w:ascii="Times New Roman" w:hAnsi="Times New Roman"/>
          <w:sz w:val="28"/>
          <w:szCs w:val="28"/>
        </w:rPr>
        <w:t xml:space="preserve">Министерство цифрового развития, связи и массовых коммуникаций Российской Федерации, от имени Российской Федерации, именуемое в дальнейшем «Лицензиар», </w:t>
      </w:r>
      <w:r>
        <w:rPr>
          <w:rFonts w:cs="Times New Roman" w:ascii="Times New Roman" w:hAnsi="Times New Roman"/>
          <w:sz w:val="28"/>
          <w:szCs w:val="28"/>
          <w:shd w:fill="FFFFFF" w:val="clear"/>
        </w:rPr>
        <w:t>в лице</w:t>
      </w:r>
      <w:r>
        <w:rPr>
          <w:rFonts w:cs="Times New Roman" w:ascii="Times New Roman" w:hAnsi="Times New Roman"/>
          <w:sz w:val="28"/>
          <w:shd w:fill="FFFFFF" w:val="clear"/>
        </w:rPr>
        <w:t xml:space="preserve"> ______________________________________ (</w:t>
      </w:r>
      <w:r>
        <w:rPr>
          <w:rFonts w:cs="Times New Roman" w:ascii="Times New Roman" w:hAnsi="Times New Roman"/>
          <w:i/>
          <w:iCs/>
          <w:sz w:val="28"/>
          <w:shd w:fill="FFFFFF" w:val="clear"/>
        </w:rPr>
        <w:t>указывается уполномоченное лицо</w:t>
      </w:r>
      <w:r>
        <w:rPr>
          <w:rFonts w:cs="Times New Roman" w:ascii="Times New Roman" w:hAnsi="Times New Roman"/>
          <w:sz w:val="28"/>
          <w:shd w:fill="FFFFFF" w:val="clear"/>
        </w:rPr>
        <w:t>), действующего на основании _________________________________</w:t>
      </w:r>
      <w:r>
        <w:rPr>
          <w:rFonts w:cs="Times New Roman" w:ascii="Times New Roman" w:hAnsi="Times New Roman"/>
          <w:sz w:val="28"/>
          <w:szCs w:val="28"/>
        </w:rPr>
        <w:t>_ (</w:t>
      </w:r>
      <w:r>
        <w:rPr>
          <w:rFonts w:cs="Times New Roman" w:ascii="Times New Roman" w:hAnsi="Times New Roman"/>
          <w:i/>
          <w:iCs/>
          <w:sz w:val="28"/>
          <w:szCs w:val="28"/>
        </w:rPr>
        <w:t>указываются реквизиты документа</w:t>
      </w:r>
      <w:r>
        <w:rPr>
          <w:rFonts w:cs="Times New Roman" w:ascii="Times New Roman" w:hAnsi="Times New Roman"/>
          <w:sz w:val="28"/>
          <w:szCs w:val="28"/>
        </w:rPr>
        <w:t xml:space="preserve">), с одной стороны и пользователь </w:t>
      </w:r>
      <w:bookmarkStart w:id="2" w:name="_Hlk204015500"/>
      <w:r>
        <w:rPr>
          <w:rFonts w:cs="Times New Roman" w:ascii="Times New Roman" w:hAnsi="Times New Roman"/>
          <w:sz w:val="28"/>
          <w:szCs w:val="28"/>
        </w:rPr>
        <w:t xml:space="preserve">типового программного обеспечения управления данными </w:t>
      </w:r>
      <w:bookmarkEnd w:id="2"/>
      <w:r>
        <w:rPr>
          <w:rFonts w:cs="Times New Roman" w:ascii="Times New Roman" w:hAnsi="Times New Roman"/>
          <w:sz w:val="28"/>
          <w:szCs w:val="28"/>
        </w:rPr>
        <w:t xml:space="preserve">(далее </w:t>
      </w:r>
      <w:bookmarkStart w:id="3" w:name="_Hlk195745100"/>
      <w:r>
        <w:rPr>
          <w:rFonts w:cs="Times New Roman" w:ascii="Times New Roman" w:hAnsi="Times New Roman"/>
          <w:sz w:val="28"/>
          <w:szCs w:val="28"/>
        </w:rPr>
        <w:t>– ТПО УД</w:t>
      </w:r>
      <w:bookmarkEnd w:id="3"/>
      <w:r>
        <w:rPr>
          <w:rFonts w:cs="Times New Roman" w:ascii="Times New Roman" w:hAnsi="Times New Roman"/>
          <w:sz w:val="28"/>
          <w:szCs w:val="28"/>
        </w:rPr>
        <w:t>) _____________________(</w:t>
      </w:r>
      <w:r>
        <w:rPr>
          <w:rFonts w:cs="Times New Roman" w:ascii="Times New Roman" w:hAnsi="Times New Roman"/>
          <w:i/>
          <w:iCs/>
          <w:sz w:val="28"/>
          <w:szCs w:val="28"/>
        </w:rPr>
        <w:t>указывается сторона лицензионного договора</w:t>
      </w:r>
      <w:r>
        <w:rPr>
          <w:rStyle w:val="14"/>
          <w:rStyle w:val="Style30"/>
          <w:rFonts w:cs="Times New Roman" w:ascii="Times New Roman" w:hAnsi="Times New Roman"/>
          <w:sz w:val="28"/>
          <w:szCs w:val="28"/>
        </w:rPr>
        <w:footnoteReference w:id="2"/>
      </w:r>
      <w:r>
        <w:rPr>
          <w:rFonts w:cs="Times New Roman" w:ascii="Times New Roman" w:hAnsi="Times New Roman"/>
          <w:sz w:val="28"/>
          <w:szCs w:val="28"/>
        </w:rPr>
        <w:t>), именуемый в дальнейшем «Лицензиат»,</w:t>
      </w:r>
      <w:r>
        <w:rPr>
          <w:rFonts w:cs="Times New Roman" w:ascii="Times New Roman" w:hAnsi="Times New Roman"/>
          <w:sz w:val="28"/>
          <w:shd w:fill="FFFFFF" w:val="clear"/>
        </w:rPr>
        <w:t xml:space="preserve"> </w:t>
      </w:r>
      <w:r>
        <w:rPr>
          <w:rFonts w:cs="Times New Roman" w:ascii="Times New Roman" w:hAnsi="Times New Roman"/>
          <w:sz w:val="28"/>
          <w:szCs w:val="28"/>
          <w:shd w:fill="FFFFFF" w:val="clear"/>
        </w:rPr>
        <w:t xml:space="preserve"> </w:t>
        <w:br/>
        <w:t>в лице</w:t>
      </w:r>
      <w:r>
        <w:rPr>
          <w:rFonts w:cs="Times New Roman" w:ascii="Times New Roman" w:hAnsi="Times New Roman"/>
          <w:sz w:val="28"/>
          <w:shd w:fill="FFFFFF" w:val="clear"/>
        </w:rPr>
        <w:t xml:space="preserve"> ______________________________ (</w:t>
      </w:r>
      <w:r>
        <w:rPr>
          <w:rFonts w:cs="Times New Roman" w:ascii="Times New Roman" w:hAnsi="Times New Roman"/>
          <w:i/>
          <w:iCs/>
          <w:sz w:val="28"/>
          <w:shd w:fill="FFFFFF" w:val="clear"/>
        </w:rPr>
        <w:t>указывается уполномоченное лицо</w:t>
      </w:r>
      <w:r>
        <w:rPr>
          <w:rFonts w:cs="Times New Roman" w:ascii="Times New Roman" w:hAnsi="Times New Roman"/>
          <w:sz w:val="28"/>
          <w:shd w:fill="FFFFFF" w:val="clear"/>
        </w:rPr>
        <w:t>),  действующего на основании __________________________________________</w:t>
        <w:softHyphen/>
        <w:t>_ (</w:t>
      </w:r>
      <w:r>
        <w:rPr>
          <w:rFonts w:cs="Times New Roman" w:ascii="Times New Roman" w:hAnsi="Times New Roman"/>
          <w:i/>
          <w:iCs/>
          <w:sz w:val="28"/>
          <w:shd w:fill="FFFFFF" w:val="clear"/>
        </w:rPr>
        <w:t>указываются реквизиты документа</w:t>
      </w:r>
      <w:r>
        <w:rPr>
          <w:rFonts w:cs="Times New Roman" w:ascii="Times New Roman" w:hAnsi="Times New Roman"/>
          <w:sz w:val="28"/>
          <w:shd w:fill="FFFFFF" w:val="clear"/>
        </w:rPr>
        <w:t>),</w:t>
      </w:r>
      <w:r>
        <w:rPr>
          <w:rFonts w:cs="Times New Roman" w:ascii="Times New Roman" w:hAnsi="Times New Roman"/>
          <w:sz w:val="28"/>
          <w:szCs w:val="28"/>
        </w:rPr>
        <w:t xml:space="preserve"> с другой стороны, совместно именуемые в дальнейшем «Стороны», а по отдельности – «Сторона»,</w:t>
      </w:r>
      <w:r>
        <w:rPr>
          <w:rFonts w:cs="Times New Roman" w:ascii="Times New Roman" w:hAnsi="Times New Roman"/>
        </w:rPr>
        <w:t xml:space="preserve"> </w:t>
        <w:br/>
      </w:r>
      <w:r>
        <w:rPr>
          <w:rFonts w:cs="Times New Roman" w:ascii="Times New Roman" w:hAnsi="Times New Roman"/>
          <w:sz w:val="28"/>
          <w:szCs w:val="28"/>
        </w:rPr>
        <w:t xml:space="preserve">на основании </w:t>
      </w:r>
      <w:bookmarkStart w:id="4" w:name="_Hlk195744618"/>
      <w:r>
        <w:rPr>
          <w:rFonts w:cs="Times New Roman" w:ascii="Times New Roman" w:hAnsi="Times New Roman"/>
          <w:sz w:val="28"/>
          <w:szCs w:val="28"/>
        </w:rPr>
        <w:t xml:space="preserve">пункта 7 Положения о федеральной государственной информационной системе «Единая информационная платформа национальной системы управления данными», утвержденного постановлением Правительства Российской Федерации от 14 мая 2021 г. № 733 «Об утверждении Положения </w:t>
        <w:br/>
        <w:t xml:space="preserve">о федеральной государственной информационной системе «Единая информационная платформа национальной системы управления данными» </w:t>
        <w:br/>
        <w:t xml:space="preserve">и о внесении изменений в некоторые акты Правительства </w:t>
        <w:br/>
        <w:t>Российской Федерации» (далее – Положение о НСУД),  подпункта «__»</w:t>
      </w:r>
      <w:r>
        <w:rPr>
          <w:rStyle w:val="14"/>
          <w:rStyle w:val="Style30"/>
          <w:rFonts w:cs="Times New Roman" w:ascii="Times New Roman" w:hAnsi="Times New Roman"/>
          <w:sz w:val="28"/>
          <w:szCs w:val="28"/>
        </w:rPr>
        <w:footnoteReference w:id="3"/>
      </w:r>
      <w:r>
        <w:rPr>
          <w:rFonts w:cs="Times New Roman" w:ascii="Times New Roman" w:hAnsi="Times New Roman"/>
          <w:sz w:val="28"/>
          <w:szCs w:val="28"/>
        </w:rPr>
        <w:t xml:space="preserve"> </w:t>
        <w:br/>
        <w:t xml:space="preserve">пункта 10 и пункта 11 Положения о единой системе межведомственного электронного взаимодействия, утвержденного </w:t>
      </w:r>
      <w:bookmarkStart w:id="5" w:name="_Hlk195744185"/>
      <w:r>
        <w:rPr>
          <w:rFonts w:cs="Times New Roman" w:ascii="Times New Roman" w:hAnsi="Times New Roman"/>
          <w:sz w:val="28"/>
          <w:szCs w:val="28"/>
        </w:rPr>
        <w:t>постановлением Правительства Российской Федерации от</w:t>
      </w:r>
      <w:bookmarkEnd w:id="5"/>
      <w:r>
        <w:rPr>
          <w:rFonts w:cs="Times New Roman" w:ascii="Times New Roman" w:hAnsi="Times New Roman"/>
          <w:sz w:val="28"/>
          <w:szCs w:val="28"/>
        </w:rPr>
        <w:t xml:space="preserve"> 8 сентября 2010 г. № 697 «О единой системе межведомственного электронного взаимодействия» (далее – Положение </w:t>
        <w:br/>
        <w:t xml:space="preserve">о СМЭВ), </w:t>
      </w:r>
      <w:bookmarkEnd w:id="4"/>
      <w:r>
        <w:rPr>
          <w:rFonts w:cs="Times New Roman" w:ascii="Times New Roman" w:hAnsi="Times New Roman"/>
          <w:sz w:val="28"/>
          <w:szCs w:val="28"/>
        </w:rPr>
        <w:t>_________________________________________</w:t>
      </w:r>
      <w:r>
        <w:rPr>
          <w:rStyle w:val="14"/>
          <w:rStyle w:val="Style30"/>
          <w:rFonts w:cs="Times New Roman" w:ascii="Times New Roman" w:hAnsi="Times New Roman"/>
          <w:sz w:val="28"/>
          <w:szCs w:val="28"/>
        </w:rPr>
        <w:footnoteReference w:id="4"/>
      </w:r>
      <w:r>
        <w:rPr>
          <w:rFonts w:cs="Times New Roman" w:ascii="Times New Roman" w:hAnsi="Times New Roman"/>
          <w:sz w:val="28"/>
          <w:szCs w:val="28"/>
        </w:rPr>
        <w:t>,</w:t>
      </w:r>
      <w:r>
        <w:rPr>
          <w:rFonts w:cs="Times New Roman" w:ascii="Times New Roman" w:hAnsi="Times New Roman"/>
        </w:rPr>
        <w:t xml:space="preserve"> </w:t>
      </w:r>
      <w:r>
        <w:rPr>
          <w:rFonts w:cs="Times New Roman" w:ascii="Times New Roman" w:hAnsi="Times New Roman"/>
          <w:sz w:val="28"/>
          <w:szCs w:val="28"/>
        </w:rPr>
        <w:t>заключили настоящий лицензионный договор (далее – Договор) о нижеследующем.</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33"/>
        <w:shd w:fill="auto" w:val="clear"/>
        <w:tabs>
          <w:tab w:val="clear" w:pos="708"/>
          <w:tab w:val="left" w:pos="4056" w:leader="none"/>
        </w:tabs>
        <w:spacing w:lineRule="auto" w:line="240" w:before="0" w:after="0"/>
        <w:jc w:val="center"/>
        <w:rPr>
          <w:sz w:val="28"/>
          <w:szCs w:val="28"/>
        </w:rPr>
      </w:pPr>
      <w:r>
        <w:rPr>
          <w:sz w:val="28"/>
          <w:szCs w:val="28"/>
        </w:rPr>
        <w:t>1. Предмет Договора</w:t>
      </w:r>
    </w:p>
    <w:p>
      <w:pPr>
        <w:pStyle w:val="33"/>
        <w:shd w:fill="auto" w:val="clear"/>
        <w:tabs>
          <w:tab w:val="clear" w:pos="708"/>
          <w:tab w:val="left" w:pos="4056" w:leader="none"/>
        </w:tabs>
        <w:spacing w:lineRule="auto" w:line="240" w:before="0" w:after="0"/>
        <w:jc w:val="center"/>
        <w:rPr>
          <w:sz w:val="28"/>
          <w:szCs w:val="28"/>
        </w:rPr>
      </w:pPr>
      <w:r>
        <w:rPr>
          <w:sz w:val="28"/>
          <w:szCs w:val="28"/>
        </w:rPr>
      </w:r>
    </w:p>
    <w:p>
      <w:pPr>
        <w:pStyle w:val="22"/>
        <w:tabs>
          <w:tab w:val="clear" w:pos="708"/>
          <w:tab w:val="left" w:pos="1425" w:leader="none"/>
        </w:tabs>
        <w:spacing w:lineRule="auto" w:line="240" w:before="0" w:after="0"/>
        <w:ind w:left="0" w:right="0" w:firstLine="709"/>
        <w:rPr>
          <w:sz w:val="28"/>
          <w:szCs w:val="28"/>
        </w:rPr>
      </w:pPr>
      <w:r>
        <w:rPr>
          <w:sz w:val="28"/>
          <w:szCs w:val="28"/>
        </w:rPr>
        <w:t xml:space="preserve">1.1. Лицензиар предоставляет Лицензиату на условиях простой (неисключительной) лицензии (далее – Лицензии(я)) право использования результатов интеллектуальной деятельности – ТПО УД, </w:t>
      </w:r>
      <w:bookmarkStart w:id="6" w:name="_Hlk203635743"/>
      <w:r>
        <w:rPr>
          <w:sz w:val="28"/>
          <w:szCs w:val="28"/>
        </w:rPr>
        <w:t xml:space="preserve">включая исполняемый код и техническую документацию (свидетельство </w:t>
        <w:br/>
        <w:t>о государственной регистрации программы для электронных вычислительных машин № 2025668400, дата государственной регистрации в Реестре программ для электронных вычислительных машин 15 июля 2025 г.).</w:t>
      </w:r>
      <w:bookmarkEnd w:id="6"/>
    </w:p>
    <w:p>
      <w:pPr>
        <w:pStyle w:val="22"/>
        <w:tabs>
          <w:tab w:val="clear" w:pos="708"/>
          <w:tab w:val="left" w:pos="1425" w:leader="none"/>
        </w:tabs>
        <w:spacing w:lineRule="auto" w:line="240" w:before="0" w:after="0"/>
        <w:ind w:left="0" w:right="0" w:firstLine="709"/>
        <w:rPr>
          <w:sz w:val="28"/>
          <w:szCs w:val="28"/>
        </w:rPr>
      </w:pPr>
      <w:r>
        <w:rPr>
          <w:sz w:val="28"/>
          <w:szCs w:val="28"/>
        </w:rPr>
        <w:t xml:space="preserve">1.2. Право использования ТПО УД предоставляется Лицензиату в установленных Договором пределах в целях применения в деятельности Лицензиата в соответствии с назначением – для контроля, мониторинга </w:t>
        <w:br/>
        <w:t>и диагностики качества данных:</w:t>
      </w:r>
    </w:p>
    <w:p>
      <w:pPr>
        <w:pStyle w:val="22"/>
        <w:tabs>
          <w:tab w:val="clear" w:pos="708"/>
          <w:tab w:val="left" w:pos="1425" w:leader="none"/>
        </w:tabs>
        <w:spacing w:lineRule="auto" w:line="240" w:before="0" w:after="0"/>
        <w:ind w:left="0" w:right="0" w:firstLine="709"/>
        <w:rPr>
          <w:sz w:val="28"/>
          <w:szCs w:val="28"/>
        </w:rPr>
      </w:pPr>
      <w:r>
        <w:rPr>
          <w:sz w:val="28"/>
          <w:szCs w:val="28"/>
        </w:rPr>
        <w:t>федеральных органов исполнительной власти,</w:t>
      </w:r>
    </w:p>
    <w:p>
      <w:pPr>
        <w:pStyle w:val="22"/>
        <w:tabs>
          <w:tab w:val="clear" w:pos="708"/>
          <w:tab w:val="left" w:pos="1425" w:leader="none"/>
        </w:tabs>
        <w:spacing w:lineRule="auto" w:line="240" w:before="0" w:after="0"/>
        <w:ind w:left="0" w:right="0" w:firstLine="709"/>
        <w:rPr>
          <w:sz w:val="28"/>
          <w:szCs w:val="28"/>
        </w:rPr>
      </w:pPr>
      <w:r>
        <w:rPr>
          <w:sz w:val="28"/>
          <w:szCs w:val="28"/>
        </w:rPr>
        <w:t>государственных внебюджетных фондов,</w:t>
      </w:r>
    </w:p>
    <w:p>
      <w:pPr>
        <w:pStyle w:val="22"/>
        <w:tabs>
          <w:tab w:val="clear" w:pos="708"/>
          <w:tab w:val="left" w:pos="1425" w:leader="none"/>
        </w:tabs>
        <w:spacing w:lineRule="auto" w:line="240" w:before="0" w:after="0"/>
        <w:ind w:left="0" w:right="0" w:firstLine="709"/>
        <w:rPr>
          <w:sz w:val="28"/>
          <w:szCs w:val="28"/>
        </w:rPr>
      </w:pPr>
      <w:r>
        <w:rPr>
          <w:sz w:val="28"/>
          <w:szCs w:val="28"/>
        </w:rPr>
        <w:t>исполнительных органов субъектов Российской Федерации,</w:t>
      </w:r>
    </w:p>
    <w:p>
      <w:pPr>
        <w:pStyle w:val="22"/>
        <w:tabs>
          <w:tab w:val="clear" w:pos="708"/>
          <w:tab w:val="left" w:pos="1425" w:leader="none"/>
        </w:tabs>
        <w:spacing w:lineRule="auto" w:line="240" w:before="0" w:after="0"/>
        <w:ind w:left="0" w:right="0" w:firstLine="709"/>
        <w:rPr>
          <w:sz w:val="28"/>
          <w:szCs w:val="28"/>
        </w:rPr>
      </w:pPr>
      <w:r>
        <w:rPr>
          <w:sz w:val="28"/>
          <w:szCs w:val="28"/>
        </w:rPr>
        <w:t>органов местного самоуправления,</w:t>
      </w:r>
    </w:p>
    <w:p>
      <w:pPr>
        <w:pStyle w:val="22"/>
        <w:tabs>
          <w:tab w:val="clear" w:pos="708"/>
          <w:tab w:val="left" w:pos="1425" w:leader="none"/>
        </w:tabs>
        <w:spacing w:lineRule="auto" w:line="240" w:before="0" w:after="0"/>
        <w:ind w:left="0" w:right="0" w:firstLine="709"/>
        <w:rPr/>
      </w:pPr>
      <w:r>
        <w:rPr>
          <w:sz w:val="28"/>
          <w:szCs w:val="28"/>
        </w:rPr>
        <w:t>государственных и муниципальных учреждений,</w:t>
      </w:r>
    </w:p>
    <w:p>
      <w:pPr>
        <w:pStyle w:val="22"/>
        <w:tabs>
          <w:tab w:val="clear" w:pos="708"/>
          <w:tab w:val="left" w:pos="1425" w:leader="none"/>
        </w:tabs>
        <w:spacing w:lineRule="auto" w:line="240" w:before="0" w:after="0"/>
        <w:ind w:left="0" w:right="0" w:firstLine="709"/>
        <w:rPr>
          <w:sz w:val="28"/>
          <w:szCs w:val="28"/>
        </w:rPr>
      </w:pPr>
      <w:r>
        <w:rPr>
          <w:sz w:val="28"/>
          <w:szCs w:val="28"/>
        </w:rPr>
        <w:t>иных органов и организаций.</w:t>
      </w:r>
    </w:p>
    <w:p>
      <w:pPr>
        <w:pStyle w:val="22"/>
        <w:tabs>
          <w:tab w:val="clear" w:pos="708"/>
          <w:tab w:val="left" w:pos="1425" w:leader="none"/>
        </w:tabs>
        <w:spacing w:lineRule="auto" w:line="240" w:before="0" w:after="0"/>
        <w:ind w:left="0" w:right="0" w:firstLine="709"/>
        <w:rPr>
          <w:sz w:val="28"/>
          <w:szCs w:val="28"/>
        </w:rPr>
      </w:pPr>
      <w:r>
        <w:rPr>
          <w:sz w:val="28"/>
          <w:szCs w:val="28"/>
        </w:rPr>
        <w:t>1.3. Право использования ТПО УД предоставляется Лицензиату в целях:</w:t>
      </w:r>
    </w:p>
    <w:p>
      <w:pPr>
        <w:pStyle w:val="22"/>
        <w:tabs>
          <w:tab w:val="clear" w:pos="708"/>
          <w:tab w:val="left" w:pos="1425" w:leader="none"/>
        </w:tabs>
        <w:spacing w:lineRule="auto" w:line="240" w:before="0" w:after="0"/>
        <w:ind w:left="0" w:right="0" w:firstLine="709"/>
        <w:rPr>
          <w:sz w:val="28"/>
          <w:szCs w:val="28"/>
        </w:rPr>
      </w:pPr>
      <w:r>
        <w:rPr>
          <w:sz w:val="28"/>
          <w:szCs w:val="28"/>
        </w:rPr>
        <w:t xml:space="preserve">предоставления государственных и муниципальных услуг, документов (сведений), размещенных в государственных информационных системах </w:t>
        <w:br/>
        <w:t>и иных информационных системах,</w:t>
      </w:r>
    </w:p>
    <w:p>
      <w:pPr>
        <w:pStyle w:val="22"/>
        <w:tabs>
          <w:tab w:val="clear" w:pos="708"/>
          <w:tab w:val="left" w:pos="1425" w:leader="none"/>
        </w:tabs>
        <w:spacing w:lineRule="auto" w:line="240" w:before="0" w:after="0"/>
        <w:ind w:left="0" w:right="0" w:firstLine="709"/>
        <w:rPr>
          <w:sz w:val="28"/>
          <w:szCs w:val="28"/>
        </w:rPr>
      </w:pPr>
      <w:r>
        <w:rPr>
          <w:sz w:val="28"/>
          <w:szCs w:val="28"/>
        </w:rPr>
        <w:t>исполнения государственных и муниципальных функций,</w:t>
      </w:r>
    </w:p>
    <w:p>
      <w:pPr>
        <w:pStyle w:val="22"/>
        <w:tabs>
          <w:tab w:val="clear" w:pos="708"/>
          <w:tab w:val="left" w:pos="1425" w:leader="none"/>
        </w:tabs>
        <w:spacing w:lineRule="auto" w:line="240" w:before="0" w:after="0"/>
        <w:ind w:left="0" w:right="0" w:firstLine="709"/>
        <w:rPr>
          <w:sz w:val="28"/>
          <w:szCs w:val="28"/>
        </w:rPr>
      </w:pPr>
      <w:r>
        <w:rPr>
          <w:sz w:val="28"/>
          <w:szCs w:val="28"/>
        </w:rPr>
        <w:t>в иных случаях, предусмотренных федеральными законами, актами Президента Российской Федерации, актами Правительства Российской Федерации или решениями президиума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 в соответствии с </w:t>
      </w:r>
      <w:bookmarkStart w:id="7" w:name="_Hlk195745247"/>
      <w:r>
        <w:rPr>
          <w:sz w:val="28"/>
          <w:szCs w:val="28"/>
        </w:rPr>
        <w:t>пунктом 7 Положения о НСУД и пунктом 11 Положения о СМЭВ.</w:t>
      </w:r>
      <w:bookmarkEnd w:id="7"/>
    </w:p>
    <w:p>
      <w:pPr>
        <w:pStyle w:val="22"/>
        <w:shd w:fill="auto" w:val="clear"/>
        <w:spacing w:lineRule="auto" w:line="240" w:before="0" w:after="0"/>
        <w:ind w:left="0" w:right="0" w:firstLine="709"/>
        <w:rPr>
          <w:rFonts w:eastAsia="Calibri"/>
          <w:sz w:val="28"/>
          <w:szCs w:val="28"/>
          <w:lang w:eastAsia="en-US"/>
        </w:rPr>
      </w:pPr>
      <w:r>
        <w:rPr>
          <w:rFonts w:eastAsia="Calibri"/>
          <w:sz w:val="28"/>
          <w:szCs w:val="28"/>
          <w:lang w:eastAsia="en-US"/>
        </w:rPr>
        <w:t xml:space="preserve">1.4. Факт предоставления Лицензиату права использования ТПО УД оформляется актом приема-передачи права на использование типового программного обеспечения управления данными по форме, приведенной в приложении к Договору (далее – Акт приема-передачи), подписанным усиленными квалифицированными электронными подписями уполномоченных </w:t>
        <w:br/>
        <w:t>на то представителей Сторон.</w:t>
      </w:r>
    </w:p>
    <w:p>
      <w:pPr>
        <w:pStyle w:val="22"/>
        <w:shd w:fill="auto" w:val="clear"/>
        <w:spacing w:lineRule="auto" w:line="240" w:before="0" w:after="0"/>
        <w:ind w:left="0" w:right="0" w:firstLine="567"/>
        <w:rPr>
          <w:sz w:val="28"/>
          <w:szCs w:val="28"/>
        </w:rPr>
      </w:pPr>
      <w:r>
        <w:rPr>
          <w:sz w:val="28"/>
          <w:szCs w:val="28"/>
        </w:rPr>
        <w:t>Датой предоставления (передачи) Лицензиату права использования ТПО УД в рамках Договора является дата подписания Сторонами Акта приема-передачи</w:t>
      </w:r>
      <w:r>
        <w:rPr>
          <w:i/>
          <w:iCs/>
          <w:sz w:val="28"/>
          <w:szCs w:val="28"/>
        </w:rPr>
        <w:t xml:space="preserve">. </w:t>
        <w:br/>
      </w:r>
      <w:r>
        <w:rPr>
          <w:iCs/>
          <w:sz w:val="28"/>
          <w:szCs w:val="28"/>
        </w:rPr>
        <w:t xml:space="preserve">        Для подписания и направления Лицензиару подписанного экземпляра Акта приема-передачи Лицензиату предоставляется 14 (четырнадцать) рабочих дней.</w:t>
      </w:r>
    </w:p>
    <w:p>
      <w:pPr>
        <w:pStyle w:val="22"/>
        <w:shd w:fill="auto" w:val="clear"/>
        <w:spacing w:lineRule="auto" w:line="240" w:before="0" w:after="0"/>
        <w:ind w:left="0" w:right="0" w:firstLine="706"/>
        <w:rPr/>
      </w:pPr>
      <w:r>
        <w:rPr>
          <w:sz w:val="28"/>
          <w:szCs w:val="28"/>
        </w:rPr>
        <w:t xml:space="preserve">1.5. Лицензиар обязан передать Лицензиату по Акту приема-передачи цифровой носитель с ТПО УД или предоставить доступ Лицензиату к ТПО УД в полном объеме (свободный доступ для копирования ТПО УД осуществляется </w:t>
        <w:br/>
        <w:t xml:space="preserve">с сайта Лицензиара в информационно-телекоммуникационной сети «Интернет» </w:t>
        <w:br/>
        <w:t>по адресу __________________________________________________________</w:t>
      </w:r>
      <w:r>
        <w:rPr>
          <w:rStyle w:val="14"/>
          <w:rStyle w:val="Style30"/>
          <w:sz w:val="28"/>
          <w:szCs w:val="28"/>
        </w:rPr>
        <w:footnoteReference w:id="5"/>
      </w:r>
      <w:r>
        <w:rPr>
          <w:rStyle w:val="2"/>
          <w:sz w:val="28"/>
          <w:szCs w:val="28"/>
        </w:rPr>
        <w:t xml:space="preserve">) </w:t>
      </w:r>
      <w:r>
        <w:rPr>
          <w:sz w:val="28"/>
          <w:szCs w:val="28"/>
        </w:rPr>
        <w:t>не позднее 2 (двух) недель с даты заключения Сторонами Договора.</w:t>
      </w:r>
    </w:p>
    <w:p>
      <w:pPr>
        <w:pStyle w:val="22"/>
        <w:shd w:fill="auto" w:val="clear"/>
        <w:spacing w:lineRule="auto" w:line="240" w:before="0" w:after="0"/>
        <w:ind w:left="0" w:right="0" w:firstLine="706"/>
        <w:rPr>
          <w:sz w:val="28"/>
          <w:szCs w:val="28"/>
        </w:rPr>
      </w:pPr>
      <w:r>
        <w:rPr>
          <w:sz w:val="28"/>
          <w:szCs w:val="28"/>
        </w:rPr>
      </w:r>
    </w:p>
    <w:p>
      <w:pPr>
        <w:pStyle w:val="22"/>
        <w:shd w:fill="auto" w:val="clear"/>
        <w:spacing w:lineRule="auto" w:line="240" w:before="0" w:after="0"/>
        <w:ind w:left="0" w:right="0" w:hanging="0"/>
        <w:jc w:val="center"/>
        <w:rPr>
          <w:b/>
          <w:sz w:val="28"/>
          <w:szCs w:val="28"/>
        </w:rPr>
      </w:pPr>
      <w:r>
        <w:rPr>
          <w:b/>
          <w:sz w:val="28"/>
          <w:szCs w:val="28"/>
        </w:rPr>
        <w:t xml:space="preserve">2. Способы и порядок использования </w:t>
        <w:br/>
        <w:t>результатов интеллектуальной деятельности</w:t>
      </w:r>
    </w:p>
    <w:p>
      <w:pPr>
        <w:pStyle w:val="22"/>
        <w:shd w:fill="auto" w:val="clear"/>
        <w:spacing w:lineRule="auto" w:line="240" w:before="0" w:after="0"/>
        <w:ind w:left="0" w:right="0" w:hanging="0"/>
        <w:jc w:val="center"/>
        <w:rPr>
          <w:sz w:val="28"/>
          <w:szCs w:val="28"/>
        </w:rPr>
      </w:pPr>
      <w:r>
        <w:rPr>
          <w:b/>
          <w:sz w:val="28"/>
          <w:szCs w:val="28"/>
        </w:rPr>
      </w:r>
    </w:p>
    <w:p>
      <w:pPr>
        <w:pStyle w:val="22"/>
        <w:shd w:fill="auto" w:val="clear"/>
        <w:tabs>
          <w:tab w:val="clear" w:pos="708"/>
          <w:tab w:val="left" w:pos="1422" w:leader="none"/>
        </w:tabs>
        <w:spacing w:lineRule="auto" w:line="240" w:before="0" w:after="0"/>
        <w:ind w:left="0" w:right="0" w:firstLine="709"/>
        <w:rPr>
          <w:sz w:val="28"/>
          <w:szCs w:val="28"/>
        </w:rPr>
      </w:pPr>
      <w:r>
        <w:rPr>
          <w:sz w:val="28"/>
          <w:szCs w:val="28"/>
        </w:rPr>
        <w:t xml:space="preserve">2.1. Лицензиар в отношении ТПО УД предоставляет Лицензиату право использования ТПО УД на условиях простой (неисключительной) лицензии способами, предусмотренными статьей 1280 </w:t>
      </w:r>
      <w:bookmarkStart w:id="8" w:name="_Hlk203377627"/>
      <w:r>
        <w:rPr>
          <w:sz w:val="28"/>
          <w:szCs w:val="28"/>
        </w:rPr>
        <w:t xml:space="preserve">Гражданского кодекса </w:t>
        <w:br/>
        <w:t>Российской Федерации</w:t>
      </w:r>
      <w:bookmarkEnd w:id="8"/>
      <w:r>
        <w:rPr>
          <w:sz w:val="28"/>
          <w:szCs w:val="28"/>
        </w:rPr>
        <w:t>, а также следующими способами:</w:t>
      </w:r>
    </w:p>
    <w:p>
      <w:pPr>
        <w:pStyle w:val="22"/>
        <w:shd w:fill="auto" w:val="clear"/>
        <w:tabs>
          <w:tab w:val="clear" w:pos="708"/>
          <w:tab w:val="left" w:pos="1410" w:leader="none"/>
        </w:tabs>
        <w:spacing w:lineRule="auto" w:line="240" w:before="0" w:after="0"/>
        <w:ind w:left="0" w:right="0" w:firstLine="709"/>
        <w:rPr>
          <w:sz w:val="28"/>
          <w:szCs w:val="28"/>
        </w:rPr>
      </w:pPr>
      <w:r>
        <w:rPr>
          <w:sz w:val="28"/>
          <w:szCs w:val="28"/>
        </w:rPr>
        <w:t>2.1.2. Воспроизведение, запись в память электронных вычислительных машин (далее – ЭВМ) (серверов) и на электронные носители, а также создание резервных копий ТПО УД неограниченное количество раз.</w:t>
      </w:r>
    </w:p>
    <w:p>
      <w:pPr>
        <w:pStyle w:val="22"/>
        <w:tabs>
          <w:tab w:val="clear" w:pos="708"/>
          <w:tab w:val="left" w:pos="1422" w:leader="none"/>
        </w:tabs>
        <w:spacing w:lineRule="auto" w:line="240" w:before="0" w:after="0"/>
        <w:ind w:left="0" w:right="0" w:firstLine="709"/>
        <w:rPr>
          <w:sz w:val="28"/>
          <w:szCs w:val="28"/>
        </w:rPr>
      </w:pPr>
      <w:r>
        <w:rPr>
          <w:sz w:val="28"/>
          <w:szCs w:val="28"/>
        </w:rPr>
        <w:t>2.1.3. Использование ТПО УД в составе сложных объектов на условиях, определенных нормами статьи 1240 Гражданского кодекса Российской Федерации.</w:t>
      </w:r>
    </w:p>
    <w:p>
      <w:pPr>
        <w:pStyle w:val="22"/>
        <w:shd w:fill="auto" w:val="clear"/>
        <w:tabs>
          <w:tab w:val="clear" w:pos="708"/>
          <w:tab w:val="left" w:pos="1425" w:leader="none"/>
        </w:tabs>
        <w:spacing w:lineRule="auto" w:line="240" w:before="0" w:after="0"/>
        <w:ind w:left="0" w:right="0" w:firstLine="709"/>
        <w:rPr/>
      </w:pPr>
      <w:r>
        <w:rPr>
          <w:sz w:val="28"/>
          <w:szCs w:val="28"/>
        </w:rPr>
        <w:t>2.2. Лицензиат</w:t>
      </w:r>
      <w:r>
        <w:rPr>
          <w:rStyle w:val="14"/>
          <w:rStyle w:val="Style30"/>
          <w:sz w:val="28"/>
          <w:szCs w:val="28"/>
        </w:rPr>
        <w:footnoteReference w:id="6"/>
      </w:r>
      <w:r>
        <w:rPr>
          <w:sz w:val="28"/>
          <w:szCs w:val="28"/>
        </w:rPr>
        <w:t>:</w:t>
      </w:r>
    </w:p>
    <w:p>
      <w:pPr>
        <w:pStyle w:val="22"/>
        <w:shd w:fill="auto" w:val="clear"/>
        <w:tabs>
          <w:tab w:val="clear" w:pos="708"/>
          <w:tab w:val="left" w:pos="1425" w:leader="none"/>
        </w:tabs>
        <w:spacing w:lineRule="auto" w:line="240" w:before="0" w:after="0"/>
        <w:ind w:left="0" w:right="0" w:firstLine="709"/>
        <w:rPr/>
      </w:pPr>
      <w:r>
        <w:rPr>
          <w:sz w:val="28"/>
          <w:szCs w:val="28"/>
        </w:rPr>
        <w:t>(</w:t>
      </w:r>
      <w:r>
        <w:rPr>
          <w:i/>
          <w:iCs/>
          <w:sz w:val="28"/>
          <w:szCs w:val="28"/>
        </w:rPr>
        <w:t>являющийся федеральным органом исполнительной власти</w:t>
      </w:r>
      <w:r>
        <w:rPr>
          <w:sz w:val="28"/>
          <w:szCs w:val="28"/>
        </w:rPr>
        <w:t xml:space="preserve">) имеет право передавать подведомственным организациям и (или) третьим лицам </w:t>
        <w:br/>
        <w:t xml:space="preserve">на условиях простой (неисключительной) лицензии право использования ТПО УД в полном объеме всех прав или в их части, предоставленных Лицензиату </w:t>
        <w:br/>
        <w:t xml:space="preserve">по Договору, при условии, что передача осуществляется в рамках сублицензионных договоров исключительно в целях, определенных в пунктах 1.2 и 1.3 Договора. Лицензиат, указанный в данном пункте, обязуется в течение </w:t>
        <w:br/>
        <w:t>5 (пяти) рабочих дней с даты заключения сублицензионного договора уведомить Лицензиара о заключении такого сублицензионного договора.</w:t>
      </w:r>
    </w:p>
    <w:p>
      <w:pPr>
        <w:pStyle w:val="22"/>
        <w:shd w:fill="auto" w:val="clear"/>
        <w:tabs>
          <w:tab w:val="clear" w:pos="708"/>
          <w:tab w:val="left" w:pos="1425" w:leader="none"/>
        </w:tabs>
        <w:spacing w:lineRule="auto" w:line="240" w:before="0" w:after="0"/>
        <w:ind w:left="0" w:right="0" w:firstLine="709"/>
        <w:rPr>
          <w:sz w:val="28"/>
          <w:szCs w:val="28"/>
        </w:rPr>
      </w:pPr>
      <w:r>
        <w:rPr>
          <w:sz w:val="28"/>
          <w:szCs w:val="28"/>
        </w:rPr>
        <w:t>(</w:t>
      </w:r>
      <w:r>
        <w:rPr>
          <w:i/>
          <w:iCs/>
          <w:sz w:val="28"/>
          <w:szCs w:val="28"/>
        </w:rPr>
        <w:t>являющийся исполнительным органом субъекта Российской Федерации, уполномоченным на заключение Договора</w:t>
      </w:r>
      <w:r>
        <w:rPr>
          <w:sz w:val="28"/>
          <w:szCs w:val="28"/>
        </w:rPr>
        <w:t>) имеет право передавать исполнительным органам субъекта Российской Федерации и иным организациям, осуществляющим свою деятельность на территории субъекта Российской Федерации, на условиях простой (неисключительной) лицензии право использования ТПО УД в полном объеме всех прав или в их части, предоставленных Лицензиату по Договору, при условии, что передача осуществляется в рамках сублицензионных договоров исключительно в целях, определенных в пунктах 1.2 и 1.3 Договора.</w:t>
      </w:r>
      <w:r>
        <w:rPr>
          <w:sz w:val="28"/>
          <w:szCs w:val="28"/>
          <w:lang w:bidi="ar-SA"/>
        </w:rPr>
        <w:t xml:space="preserve"> Лицензиат, указанный в данном пункте, обязуется в течение 5 (пяти) рабочих дней с даты заключения сублицензионного договора уведомить Лицензиара о заключении такого сублицензионного договора.</w:t>
      </w:r>
    </w:p>
    <w:p>
      <w:pPr>
        <w:pStyle w:val="22"/>
        <w:tabs>
          <w:tab w:val="clear" w:pos="708"/>
          <w:tab w:val="left" w:pos="1425" w:leader="none"/>
        </w:tabs>
        <w:spacing w:lineRule="auto" w:line="240" w:before="0" w:after="0"/>
        <w:ind w:left="0" w:right="0" w:firstLine="709"/>
        <w:rPr/>
      </w:pPr>
      <w:r>
        <w:rPr>
          <w:sz w:val="28"/>
          <w:szCs w:val="28"/>
        </w:rPr>
        <w:t>(</w:t>
      </w:r>
      <w:r>
        <w:rPr>
          <w:i/>
          <w:iCs/>
          <w:sz w:val="28"/>
          <w:szCs w:val="28"/>
        </w:rPr>
        <w:t xml:space="preserve">являющийся юридическим лицом, обладающим правом подключения </w:t>
        <w:br/>
        <w:t>к СМЭВ</w:t>
      </w:r>
      <w:r>
        <w:rPr>
          <w:sz w:val="28"/>
          <w:szCs w:val="28"/>
        </w:rPr>
        <w:t xml:space="preserve">) имеет право передавать третьим лицам на условиях простой (неисключительной) лицензии право использования ТПО УД в полном объеме всех прав или в их части, предоставленных Лицензиату по Договору только </w:t>
        <w:br/>
        <w:t xml:space="preserve">с согласия Лицензиара и при условии, что передача осуществляется </w:t>
        <w:br/>
        <w:t xml:space="preserve">в рамках сублицензионных договоров исключительно в целях, определенных </w:t>
        <w:br/>
        <w:t xml:space="preserve">в пунктах 1.2 и 1.3 Договора. При этом Лицензиат, являющийся юридическим лицом, обладающим правом подключения к СМЭВ, в соответствии с пунктом 1 </w:t>
        <w:br/>
        <w:t>статьи 1238 Гражданского кодекса Российской Федерации принимает на себя обязательство, согласно которому в сублицензионных договорах с третьими лицами должно содержаться условие о запрете для третьих лиц передачи иным лицам права использования ТПО УД без письменного согласия Лицензиара.</w:t>
      </w:r>
    </w:p>
    <w:p>
      <w:pPr>
        <w:pStyle w:val="22"/>
        <w:shd w:fill="auto" w:val="clear"/>
        <w:tabs>
          <w:tab w:val="clear" w:pos="708"/>
          <w:tab w:val="left" w:pos="1425" w:leader="none"/>
        </w:tabs>
        <w:spacing w:lineRule="auto" w:line="240" w:before="0" w:after="0"/>
        <w:ind w:left="0" w:right="0" w:firstLine="709"/>
        <w:rPr>
          <w:sz w:val="28"/>
          <w:szCs w:val="28"/>
        </w:rPr>
      </w:pPr>
      <w:r>
        <w:rPr>
          <w:sz w:val="28"/>
          <w:szCs w:val="28"/>
        </w:rPr>
        <w:t xml:space="preserve">2.3. Лицензиат несет ответственность перед Лицензиаром за действия сублицензиатов как за свои собственные. В случае расторжения Договора </w:t>
        <w:br/>
        <w:t xml:space="preserve">или сублицензионного договора, а также истечения сроков действия Лицензий Лицензиат должен в течение 5 (пяти) рабочих дней уничтожить все имеющиеся у него копии ТПО УД, за исключением случаев расторжения в связи </w:t>
        <w:br/>
        <w:t xml:space="preserve">с отсутствием своевременного продления/перезаключения Договора </w:t>
        <w:br/>
        <w:t>или сублицензионного договора Лицензиатом или сублицензиатом.</w:t>
      </w:r>
    </w:p>
    <w:p>
      <w:pPr>
        <w:pStyle w:val="22"/>
        <w:shd w:fill="auto" w:val="clear"/>
        <w:tabs>
          <w:tab w:val="clear" w:pos="708"/>
          <w:tab w:val="left" w:pos="1425" w:leader="none"/>
        </w:tabs>
        <w:spacing w:lineRule="auto" w:line="240" w:before="0" w:after="0"/>
        <w:ind w:left="0" w:right="0" w:firstLine="709"/>
        <w:rPr>
          <w:sz w:val="28"/>
          <w:szCs w:val="28"/>
        </w:rPr>
      </w:pPr>
      <w:r>
        <w:rPr>
          <w:sz w:val="28"/>
          <w:szCs w:val="28"/>
        </w:rPr>
        <w:t>2.4. Лицензиат может осуществлять право использования ТПО УД только в пределах тех прав и теми способами, которые предусмотрены пунктами 2.1 и 2.2 Договора.</w:t>
      </w:r>
    </w:p>
    <w:p>
      <w:pPr>
        <w:pStyle w:val="22"/>
        <w:tabs>
          <w:tab w:val="clear" w:pos="708"/>
          <w:tab w:val="left" w:pos="1425" w:leader="none"/>
        </w:tabs>
        <w:spacing w:lineRule="auto" w:line="240" w:before="0" w:after="0"/>
        <w:ind w:left="0" w:right="0" w:firstLine="709"/>
        <w:rPr>
          <w:sz w:val="28"/>
          <w:szCs w:val="28"/>
        </w:rPr>
      </w:pPr>
      <w:r>
        <w:rPr>
          <w:sz w:val="28"/>
          <w:szCs w:val="28"/>
        </w:rPr>
        <w:t>2.5. Лицензия распространяется на все компоненты ТПО УД, в том числе, но не ограничиваясь:</w:t>
      </w:r>
    </w:p>
    <w:p>
      <w:pPr>
        <w:pStyle w:val="22"/>
        <w:tabs>
          <w:tab w:val="clear" w:pos="708"/>
          <w:tab w:val="left" w:pos="1425" w:leader="none"/>
        </w:tabs>
        <w:spacing w:lineRule="auto" w:line="240" w:before="0" w:after="0"/>
        <w:ind w:left="0" w:right="0" w:firstLine="709"/>
        <w:rPr>
          <w:sz w:val="28"/>
          <w:szCs w:val="28"/>
        </w:rPr>
      </w:pPr>
      <w:r>
        <w:rPr>
          <w:sz w:val="28"/>
          <w:szCs w:val="28"/>
        </w:rPr>
        <w:t xml:space="preserve">программные коды ТПО УД (исполняемые коды и открытую Лицензиаром часть исходных кодов) и реализуемые посредством этих кодов </w:t>
        <w:br/>
        <w:t>и иных элементов ТПО УД алгоритмы;</w:t>
      </w:r>
    </w:p>
    <w:p>
      <w:pPr>
        <w:pStyle w:val="22"/>
        <w:tabs>
          <w:tab w:val="clear" w:pos="708"/>
          <w:tab w:val="left" w:pos="1425" w:leader="none"/>
        </w:tabs>
        <w:spacing w:lineRule="auto" w:line="240" w:before="0" w:after="0"/>
        <w:ind w:left="0" w:right="0" w:firstLine="709"/>
        <w:rPr>
          <w:sz w:val="28"/>
          <w:szCs w:val="28"/>
        </w:rPr>
      </w:pPr>
      <w:r>
        <w:rPr>
          <w:sz w:val="28"/>
          <w:szCs w:val="28"/>
        </w:rPr>
        <w:t>дизайн (графика, элементы оформления ТПО УД);</w:t>
      </w:r>
    </w:p>
    <w:p>
      <w:pPr>
        <w:pStyle w:val="22"/>
        <w:tabs>
          <w:tab w:val="clear" w:pos="708"/>
          <w:tab w:val="left" w:pos="1425" w:leader="none"/>
        </w:tabs>
        <w:spacing w:lineRule="auto" w:line="240" w:before="0" w:after="0"/>
        <w:ind w:left="0" w:right="0" w:firstLine="709"/>
        <w:rPr>
          <w:sz w:val="28"/>
          <w:szCs w:val="28"/>
        </w:rPr>
      </w:pPr>
      <w:r>
        <w:rPr>
          <w:sz w:val="28"/>
          <w:szCs w:val="28"/>
        </w:rPr>
        <w:t>сопроводительную документацию;</w:t>
      </w:r>
    </w:p>
    <w:p>
      <w:pPr>
        <w:pStyle w:val="22"/>
        <w:shd w:fill="auto" w:val="clear"/>
        <w:tabs>
          <w:tab w:val="clear" w:pos="708"/>
          <w:tab w:val="left" w:pos="1425" w:leader="none"/>
        </w:tabs>
        <w:spacing w:lineRule="auto" w:line="240" w:before="0" w:after="0"/>
        <w:ind w:left="0" w:right="0" w:firstLine="709"/>
        <w:rPr>
          <w:sz w:val="28"/>
          <w:szCs w:val="28"/>
        </w:rPr>
      </w:pPr>
      <w:r>
        <w:rPr>
          <w:sz w:val="28"/>
          <w:szCs w:val="28"/>
        </w:rPr>
        <w:t>все иные элементы ТПО УД, включая аудиовизуальные отображения, изображения, тексты.</w:t>
      </w:r>
    </w:p>
    <w:p>
      <w:pPr>
        <w:pStyle w:val="22"/>
        <w:tabs>
          <w:tab w:val="clear" w:pos="708"/>
          <w:tab w:val="left" w:pos="1425" w:leader="none"/>
        </w:tabs>
        <w:spacing w:lineRule="auto" w:line="240" w:before="0" w:after="0"/>
        <w:ind w:left="0" w:right="0" w:firstLine="709"/>
        <w:rPr>
          <w:sz w:val="28"/>
          <w:szCs w:val="28"/>
        </w:rPr>
      </w:pPr>
      <w:r>
        <w:rPr>
          <w:sz w:val="28"/>
          <w:szCs w:val="28"/>
        </w:rPr>
        <w:t xml:space="preserve">2.6. Стороны соглашаются, что Лицензиат вправе использовать </w:t>
        <w:br/>
        <w:t xml:space="preserve">в соответствии с условиями Договора как ТПО УД целиком, так и любые отдельные элементы, фрагменты и части при условии технической возможности такого использования. </w:t>
      </w:r>
    </w:p>
    <w:p>
      <w:pPr>
        <w:pStyle w:val="22"/>
        <w:tabs>
          <w:tab w:val="clear" w:pos="708"/>
          <w:tab w:val="left" w:pos="1425" w:leader="none"/>
        </w:tabs>
        <w:spacing w:lineRule="auto" w:line="240" w:before="0" w:after="0"/>
        <w:ind w:left="0" w:right="0" w:firstLine="709"/>
        <w:rPr>
          <w:sz w:val="28"/>
          <w:szCs w:val="28"/>
        </w:rPr>
      </w:pPr>
      <w:r>
        <w:rPr>
          <w:sz w:val="28"/>
          <w:szCs w:val="28"/>
        </w:rPr>
        <w:t xml:space="preserve">2.7. Использование ТПО УД способом, не предусмотренным Договором, либо по прекращении действия Договора, либо иным образом за пределами прав, предоставленных Лицензиату по Договору, влечет ответственность </w:t>
        <w:br/>
        <w:t>за нарушение исключительного права на ТПО УД, установленную Гражданским кодексом Российской Федерации, иными нормативными правовыми актами Российской Федерации или Договором.</w:t>
      </w:r>
    </w:p>
    <w:p>
      <w:pPr>
        <w:pStyle w:val="22"/>
        <w:shd w:fill="auto" w:val="clear"/>
        <w:tabs>
          <w:tab w:val="clear" w:pos="708"/>
          <w:tab w:val="left" w:pos="1425" w:leader="none"/>
        </w:tabs>
        <w:spacing w:lineRule="auto" w:line="240" w:before="0" w:after="0"/>
        <w:ind w:left="0" w:right="0" w:firstLine="709"/>
        <w:rPr>
          <w:sz w:val="28"/>
          <w:szCs w:val="28"/>
        </w:rPr>
      </w:pPr>
      <w:r>
        <w:rPr>
          <w:sz w:val="28"/>
          <w:szCs w:val="28"/>
        </w:rPr>
        <w:t>2.8. Лицензиат не несет обязанности по предоставлению Лицензиару отчетов об использовании ТПО УД в рамках статьи 1237 Гражданского кодекса</w:t>
        <w:br/>
        <w:t xml:space="preserve">Российской Федерации. </w:t>
      </w:r>
    </w:p>
    <w:p>
      <w:pPr>
        <w:pStyle w:val="22"/>
        <w:shd w:fill="auto" w:val="clear"/>
        <w:tabs>
          <w:tab w:val="clear" w:pos="708"/>
          <w:tab w:val="left" w:pos="1425" w:leader="none"/>
        </w:tabs>
        <w:spacing w:lineRule="auto" w:line="240" w:before="0" w:after="0"/>
        <w:ind w:left="0" w:right="0" w:firstLine="709"/>
        <w:rPr>
          <w:bCs/>
          <w:sz w:val="28"/>
          <w:szCs w:val="28"/>
        </w:rPr>
      </w:pPr>
      <w:r>
        <w:rPr>
          <w:sz w:val="28"/>
          <w:szCs w:val="28"/>
        </w:rPr>
        <w:t>2.9. Территория использования ТПО УД – Российская Федерация.</w:t>
      </w:r>
    </w:p>
    <w:p>
      <w:pPr>
        <w:pStyle w:val="22"/>
        <w:shd w:fill="auto" w:val="clear"/>
        <w:tabs>
          <w:tab w:val="clear" w:pos="708"/>
          <w:tab w:val="left" w:pos="1425" w:leader="none"/>
        </w:tabs>
        <w:spacing w:lineRule="auto" w:line="240" w:before="0" w:after="0"/>
        <w:ind w:left="0" w:right="0" w:firstLine="709"/>
        <w:rPr/>
      </w:pPr>
      <w:r>
        <w:rPr>
          <w:bCs/>
          <w:sz w:val="28"/>
          <w:szCs w:val="28"/>
        </w:rPr>
        <w:t>2.10. Договор предоставляет Лицензиату право использования ТПО УД</w:t>
      </w:r>
      <w:r>
        <w:rPr>
          <w:sz w:val="28"/>
          <w:szCs w:val="28"/>
        </w:rPr>
        <w:t xml:space="preserve"> </w:t>
      </w:r>
      <w:r>
        <w:rPr>
          <w:bCs/>
          <w:sz w:val="28"/>
          <w:szCs w:val="28"/>
        </w:rPr>
        <w:t>с сохранением за Лицензиаром права выдачи лицензий другим лицам.</w:t>
      </w:r>
    </w:p>
    <w:p>
      <w:pPr>
        <w:pStyle w:val="22"/>
        <w:shd w:fill="auto" w:val="clear"/>
        <w:tabs>
          <w:tab w:val="clear" w:pos="708"/>
          <w:tab w:val="left" w:pos="1425" w:leader="none"/>
        </w:tabs>
        <w:spacing w:lineRule="auto" w:line="240" w:before="0" w:after="0"/>
        <w:ind w:left="0" w:right="0" w:hanging="0"/>
        <w:rPr>
          <w:b/>
          <w:bCs/>
          <w:sz w:val="28"/>
          <w:szCs w:val="28"/>
        </w:rPr>
      </w:pPr>
      <w:r>
        <w:rPr/>
      </w:r>
    </w:p>
    <w:p>
      <w:pPr>
        <w:pStyle w:val="22"/>
        <w:shd w:fill="auto" w:val="clear"/>
        <w:spacing w:lineRule="auto" w:line="240" w:before="0" w:after="0"/>
        <w:ind w:left="0" w:right="0" w:hanging="0"/>
        <w:jc w:val="center"/>
        <w:rPr>
          <w:b/>
          <w:sz w:val="28"/>
          <w:szCs w:val="28"/>
        </w:rPr>
      </w:pPr>
      <w:r>
        <w:rPr>
          <w:b/>
          <w:sz w:val="28"/>
          <w:szCs w:val="28"/>
        </w:rPr>
        <w:t xml:space="preserve">3. </w:t>
      </w:r>
      <w:bookmarkStart w:id="9" w:name="bookmark1"/>
      <w:r>
        <w:rPr>
          <w:b/>
          <w:sz w:val="28"/>
          <w:szCs w:val="28"/>
        </w:rPr>
        <w:t>Гарантии и ответственность</w:t>
      </w:r>
      <w:bookmarkEnd w:id="9"/>
    </w:p>
    <w:p>
      <w:pPr>
        <w:pStyle w:val="22"/>
        <w:shd w:fill="auto" w:val="clear"/>
        <w:spacing w:lineRule="auto" w:line="240" w:before="0" w:after="0"/>
        <w:ind w:left="0" w:right="0" w:hanging="0"/>
        <w:jc w:val="center"/>
        <w:rPr>
          <w:sz w:val="28"/>
          <w:szCs w:val="28"/>
        </w:rPr>
      </w:pPr>
      <w:r>
        <w:rPr>
          <w:b/>
          <w:sz w:val="28"/>
          <w:szCs w:val="28"/>
        </w:rPr>
      </w:r>
    </w:p>
    <w:p>
      <w:pPr>
        <w:pStyle w:val="22"/>
        <w:shd w:fill="auto" w:val="clear"/>
        <w:tabs>
          <w:tab w:val="clear" w:pos="708"/>
          <w:tab w:val="left" w:pos="1194" w:leader="none"/>
        </w:tabs>
        <w:spacing w:lineRule="auto" w:line="240" w:before="0" w:after="0"/>
        <w:ind w:left="0" w:right="0" w:firstLine="709"/>
        <w:rPr>
          <w:sz w:val="28"/>
          <w:szCs w:val="28"/>
        </w:rPr>
      </w:pPr>
      <w:r>
        <w:rPr>
          <w:sz w:val="28"/>
          <w:szCs w:val="28"/>
        </w:rPr>
        <w:t>3.1. Лицензиар гарантирует, что при передаче прав на ТПО УД не нарушены исключительные права, личные неимущественные и иные права третьих лиц и что он имеет законные права на заключение Договора.</w:t>
      </w:r>
    </w:p>
    <w:p>
      <w:pPr>
        <w:pStyle w:val="22"/>
        <w:shd w:fill="auto" w:val="clear"/>
        <w:tabs>
          <w:tab w:val="clear" w:pos="708"/>
          <w:tab w:val="left" w:pos="1194" w:leader="none"/>
        </w:tabs>
        <w:spacing w:lineRule="auto" w:line="240" w:before="0" w:after="0"/>
        <w:ind w:left="0" w:right="0" w:firstLine="709"/>
        <w:rPr>
          <w:sz w:val="28"/>
          <w:szCs w:val="28"/>
        </w:rPr>
      </w:pPr>
      <w:r>
        <w:rPr>
          <w:sz w:val="28"/>
          <w:szCs w:val="28"/>
        </w:rPr>
        <w:t>3.2. </w:t>
      </w:r>
      <w:r>
        <w:rPr>
          <w:spacing w:val="-6"/>
          <w:sz w:val="28"/>
          <w:szCs w:val="28"/>
        </w:rPr>
        <w:t>Лицензиар гарантирует, что он вправе предоставлять право использования ТПО УД.</w:t>
      </w:r>
    </w:p>
    <w:p>
      <w:pPr>
        <w:pStyle w:val="22"/>
        <w:shd w:fill="auto" w:val="clear"/>
        <w:tabs>
          <w:tab w:val="clear" w:pos="708"/>
          <w:tab w:val="left" w:pos="1194" w:leader="none"/>
        </w:tabs>
        <w:spacing w:lineRule="auto" w:line="240" w:before="0" w:after="0"/>
        <w:ind w:left="0" w:right="0" w:firstLine="706"/>
        <w:rPr>
          <w:sz w:val="28"/>
          <w:szCs w:val="28"/>
        </w:rPr>
      </w:pPr>
      <w:r>
        <w:rPr>
          <w:sz w:val="28"/>
          <w:szCs w:val="28"/>
        </w:rPr>
        <w:t xml:space="preserve">Если третье лицо по основанию, возникшему после заключения Договора, направит претензию или предъявит Лицензиату иск о неправомерности использования ТПО УД, предоставленного по Договору, Лицензиат немедленно извещает об этом Лицензиара и воздерживается от всяких признаний, заявлений или соглашений с третьими лицами по вопросу урегулирования споров и рассмотрения претензий. В указанных случаях Лицензиар самостоятельно ведет переговоры по урегулированию споров </w:t>
        <w:br/>
        <w:t>и осуществляет рассмотрение претензий.</w:t>
      </w:r>
    </w:p>
    <w:p>
      <w:pPr>
        <w:pStyle w:val="22"/>
        <w:shd w:fill="auto" w:val="clear"/>
        <w:tabs>
          <w:tab w:val="clear" w:pos="708"/>
          <w:tab w:val="left" w:pos="1194" w:leader="none"/>
        </w:tabs>
        <w:spacing w:lineRule="auto" w:line="240" w:before="0" w:after="0"/>
        <w:ind w:left="0" w:right="0" w:firstLine="709"/>
        <w:rPr>
          <w:sz w:val="28"/>
          <w:szCs w:val="28"/>
        </w:rPr>
      </w:pPr>
      <w:bookmarkStart w:id="10" w:name="_Hlk91160679"/>
      <w:r>
        <w:rPr>
          <w:sz w:val="28"/>
          <w:szCs w:val="28"/>
        </w:rPr>
        <w:t>3.3. ТПО УД с определенными в Договоре правами его использования предоставляется Лицензиаром в том состоянии, в каком находится в момент подписания Акта приема-передачи.</w:t>
      </w:r>
      <w:bookmarkEnd w:id="10"/>
    </w:p>
    <w:p>
      <w:pPr>
        <w:pStyle w:val="22"/>
        <w:shd w:fill="auto" w:val="clear"/>
        <w:tabs>
          <w:tab w:val="clear" w:pos="708"/>
          <w:tab w:val="left" w:pos="1201" w:leader="none"/>
        </w:tabs>
        <w:spacing w:lineRule="auto" w:line="240" w:before="0" w:after="0"/>
        <w:ind w:left="0" w:right="0" w:firstLine="709"/>
        <w:rPr>
          <w:sz w:val="28"/>
          <w:szCs w:val="28"/>
        </w:rPr>
      </w:pPr>
      <w:r>
        <w:rPr>
          <w:sz w:val="28"/>
          <w:szCs w:val="28"/>
        </w:rPr>
        <w:t xml:space="preserve">3.4. Лицензиар не несет ответственности и не возмещает убытки Лицензиата, вызванные использованием ТПО УД в целях, отличных </w:t>
        <w:br/>
        <w:t xml:space="preserve">от указанных в пунктах 1.2 и 1.3 Договора, нарушениями и (или) ошибками </w:t>
        <w:br/>
        <w:t xml:space="preserve">при эксплуатации ТПО УД, возникшими в результате установленных Сторонами неправомерных действий должностных лиц (работников) Лицензиата либо третьих лиц, привлеченных Лицензиатом, а также неполадок технических средств и сбоев электрооборудования, которые произошли </w:t>
        <w:br/>
        <w:t>не по вине Лицензиара.</w:t>
      </w:r>
    </w:p>
    <w:p>
      <w:pPr>
        <w:pStyle w:val="22"/>
        <w:shd w:fill="auto" w:val="clear"/>
        <w:tabs>
          <w:tab w:val="clear" w:pos="708"/>
          <w:tab w:val="left" w:pos="1201" w:leader="none"/>
        </w:tabs>
        <w:spacing w:lineRule="auto" w:line="240" w:before="0" w:after="0"/>
        <w:ind w:left="0" w:right="0" w:firstLine="709"/>
        <w:rPr>
          <w:sz w:val="28"/>
          <w:szCs w:val="28"/>
        </w:rPr>
      </w:pPr>
      <w:r>
        <w:rPr>
          <w:sz w:val="28"/>
          <w:szCs w:val="28"/>
        </w:rPr>
        <w:t xml:space="preserve">3.5. Лицензиар за счет собственных средств предоставляет Лицензиату </w:t>
        <w:br/>
        <w:t xml:space="preserve">в рамках Договора техническую поддержку ТПО УД, которая ограничивается предоставлением обновлений (включая техническую документацию) </w:t>
        <w:br/>
        <w:t>и устранением технических ошибок.</w:t>
      </w:r>
    </w:p>
    <w:p>
      <w:pPr>
        <w:pStyle w:val="22"/>
        <w:shd w:fill="auto" w:val="clear"/>
        <w:tabs>
          <w:tab w:val="clear" w:pos="708"/>
          <w:tab w:val="left" w:pos="1201" w:leader="none"/>
        </w:tabs>
        <w:spacing w:lineRule="auto" w:line="240" w:before="0" w:after="0"/>
        <w:ind w:left="0" w:right="0" w:firstLine="709"/>
        <w:rPr>
          <w:sz w:val="28"/>
          <w:szCs w:val="28"/>
        </w:rPr>
      </w:pPr>
      <w:r>
        <w:rPr>
          <w:sz w:val="28"/>
          <w:szCs w:val="28"/>
        </w:rPr>
        <w:t xml:space="preserve">3.6. Лицензиар за счет собственных средств осуществляет техническую поддержку ТПО УД на основании поступивших от Лицензиата в адрес Лицензиара обращений с использованием федеральной государственной информационной системы «Федеральный ситуационный центр электронного правительства». Направление и рассмотрение обращений в техническую поддержку ТПО УД в федеральной государственной информационной системе «Федеральный ситуационный центр электронного правительства» осуществляется в соответствии с Порядком функционирования и подключения к федеральной государственной информационной системе «Федеральный ситуационный центр электронного правительства», утвержденным приказом Министерства связи и массовых коммуникаций Российской Федерации </w:t>
        <w:br/>
        <w:t xml:space="preserve">от 16 августа 2017 г. № 422. При этом Лицензиар не дает дополнительных гарантий и не берет на себя обязательств больше, чем предусмотрено законодательством Российской Федерации. </w:t>
      </w:r>
    </w:p>
    <w:p>
      <w:pPr>
        <w:pStyle w:val="22"/>
        <w:shd w:fill="auto" w:val="clear"/>
        <w:tabs>
          <w:tab w:val="clear" w:pos="708"/>
          <w:tab w:val="left" w:pos="1201" w:leader="none"/>
        </w:tabs>
        <w:spacing w:lineRule="auto" w:line="240" w:before="0" w:after="0"/>
        <w:ind w:left="0" w:right="0" w:firstLine="709"/>
        <w:rPr>
          <w:sz w:val="28"/>
          <w:szCs w:val="28"/>
        </w:rPr>
      </w:pPr>
      <w:r>
        <w:rPr>
          <w:sz w:val="28"/>
          <w:szCs w:val="28"/>
        </w:rPr>
        <w:t xml:space="preserve">3.7. При выходе обновлений Лицензиар с помощью рассылки обязан уведомить Лицензиата, а Лицензиат обязан обновить ТПО УД. </w:t>
        <w:br/>
        <w:t xml:space="preserve">Без соответствующего запроса об обновлении от Лицензиата </w:t>
        <w:br/>
        <w:t xml:space="preserve">у Лицензиара не возникает обязанности производить обновления самостоятельно. Для коммуникации между Лицензиаром и Лицензиатом </w:t>
        <w:br/>
        <w:t xml:space="preserve">по вопросам обновлений используются официальные каналы связи, указанные на сайте Лицензиара. </w:t>
      </w:r>
    </w:p>
    <w:p>
      <w:pPr>
        <w:pStyle w:val="22"/>
        <w:shd w:fill="auto" w:val="clear"/>
        <w:tabs>
          <w:tab w:val="clear" w:pos="708"/>
          <w:tab w:val="left" w:pos="1194" w:leader="none"/>
        </w:tabs>
        <w:spacing w:lineRule="auto" w:line="240" w:before="0" w:after="0"/>
        <w:ind w:left="0" w:right="0" w:firstLine="709"/>
        <w:rPr>
          <w:sz w:val="28"/>
          <w:szCs w:val="28"/>
        </w:rPr>
      </w:pPr>
      <w:r>
        <w:rPr>
          <w:sz w:val="28"/>
          <w:szCs w:val="28"/>
        </w:rPr>
        <w:t xml:space="preserve">3.8. Стороны несут ответственность за неисполнение или ненадлежащее исполнение своих обязательств по Договору в соответствии </w:t>
        <w:br/>
        <w:t>с законодательством Российской Федерации. Сторона, не исполнившая или ненадлежащим образом исполнившая обязательства по Договору, обязана возместить другой Стороне причиненный таким неисполнением документально подтвержденный реальный ущерб. Бремя доказывания убытков лежит на потерпевшей Стороне.</w:t>
      </w:r>
    </w:p>
    <w:p>
      <w:pPr>
        <w:pStyle w:val="22"/>
        <w:shd w:fill="auto" w:val="clear"/>
        <w:tabs>
          <w:tab w:val="clear" w:pos="708"/>
          <w:tab w:val="left" w:pos="1194" w:leader="none"/>
        </w:tabs>
        <w:spacing w:lineRule="auto" w:line="240" w:before="0" w:after="0"/>
        <w:ind w:left="0" w:right="0" w:firstLine="709"/>
        <w:rPr>
          <w:sz w:val="28"/>
          <w:szCs w:val="28"/>
        </w:rPr>
      </w:pPr>
      <w:r>
        <w:rPr>
          <w:sz w:val="28"/>
          <w:szCs w:val="28"/>
        </w:rPr>
        <w:t xml:space="preserve">3.9. Расторжение Договора не освобождает Стороны от ответственности за неисполнение (ненадлежащее исполнение) своих обязательств по Договору. Нарушение норм об охране авторских прав может также повлечь </w:t>
        <w:br/>
        <w:t xml:space="preserve">гражданско-правовую и уголовную ответственность в соответствии </w:t>
        <w:br/>
        <w:t>с законодательством Российской Федерации, действующим на момент нарушения.</w:t>
      </w:r>
    </w:p>
    <w:p>
      <w:pPr>
        <w:pStyle w:val="22"/>
        <w:shd w:fill="auto" w:val="clear"/>
        <w:tabs>
          <w:tab w:val="clear" w:pos="708"/>
          <w:tab w:val="left" w:pos="1194" w:leader="none"/>
        </w:tabs>
        <w:spacing w:lineRule="auto" w:line="240" w:before="0" w:after="0"/>
        <w:ind w:left="0" w:right="0" w:firstLine="709"/>
        <w:rPr>
          <w:b/>
          <w:sz w:val="28"/>
          <w:szCs w:val="28"/>
          <w:lang w:bidi="ar-SA"/>
        </w:rPr>
      </w:pPr>
      <w:r>
        <w:rPr>
          <w:sz w:val="28"/>
          <w:szCs w:val="28"/>
        </w:rPr>
      </w:r>
    </w:p>
    <w:p>
      <w:pPr>
        <w:pStyle w:val="Normal"/>
        <w:tabs>
          <w:tab w:val="clear" w:pos="708"/>
          <w:tab w:val="left" w:pos="1422" w:leader="none"/>
        </w:tabs>
        <w:spacing w:lineRule="auto" w:line="240" w:before="0" w:after="0"/>
        <w:jc w:val="center"/>
        <w:rPr>
          <w:rFonts w:ascii="Times New Roman" w:hAnsi="Times New Roman" w:eastAsia="Times New Roman" w:cs="Times New Roman"/>
          <w:b/>
          <w:sz w:val="28"/>
          <w:szCs w:val="28"/>
          <w:lang w:bidi="ar-SA"/>
        </w:rPr>
      </w:pPr>
      <w:r>
        <w:rPr>
          <w:rFonts w:eastAsia="Times New Roman" w:cs="Times New Roman" w:ascii="Times New Roman" w:hAnsi="Times New Roman"/>
          <w:b/>
          <w:sz w:val="28"/>
          <w:szCs w:val="28"/>
          <w:lang w:bidi="ar-SA"/>
        </w:rPr>
        <w:t>4. Ограничение гарантии</w:t>
      </w:r>
    </w:p>
    <w:p>
      <w:pPr>
        <w:pStyle w:val="Normal"/>
        <w:tabs>
          <w:tab w:val="clear" w:pos="708"/>
          <w:tab w:val="left" w:pos="1422" w:leader="none"/>
        </w:tabs>
        <w:spacing w:lineRule="auto" w:line="240" w:before="0" w:after="0"/>
        <w:jc w:val="center"/>
        <w:rPr>
          <w:rFonts w:ascii="Times New Roman" w:hAnsi="Times New Roman" w:eastAsia="Times New Roman" w:cs="Times New Roman"/>
          <w:sz w:val="28"/>
          <w:szCs w:val="28"/>
          <w:lang w:bidi="ar-SA"/>
        </w:rPr>
      </w:pPr>
      <w:r>
        <w:rPr>
          <w:rFonts w:eastAsia="Times New Roman" w:cs="Times New Roman" w:ascii="Times New Roman" w:hAnsi="Times New Roman"/>
          <w:b/>
          <w:sz w:val="28"/>
          <w:szCs w:val="28"/>
          <w:lang w:bidi="ar-SA"/>
        </w:rPr>
      </w:r>
    </w:p>
    <w:p>
      <w:pPr>
        <w:pStyle w:val="Normal"/>
        <w:tabs>
          <w:tab w:val="clear" w:pos="708"/>
          <w:tab w:val="left" w:pos="1422" w:leader="none"/>
        </w:tabs>
        <w:spacing w:lineRule="auto" w:line="240" w:before="0" w:after="0"/>
        <w:ind w:firstLine="709"/>
        <w:jc w:val="both"/>
        <w:rPr/>
      </w:pPr>
      <w:r>
        <w:rPr>
          <w:rFonts w:eastAsia="Times New Roman" w:cs="Times New Roman" w:ascii="Times New Roman" w:hAnsi="Times New Roman"/>
          <w:sz w:val="28"/>
          <w:szCs w:val="28"/>
          <w:lang w:bidi="ar-SA"/>
        </w:rPr>
        <w:t>4.1. ТПО УД в соответствии с Руководством пользователя ТПО УД, (размещено по адресу________________________________________________</w:t>
      </w:r>
      <w:r>
        <w:rPr>
          <w:rStyle w:val="14"/>
          <w:rStyle w:val="Style30"/>
          <w:rFonts w:eastAsia="Times New Roman" w:cs="Times New Roman" w:ascii="Times New Roman" w:hAnsi="Times New Roman"/>
          <w:sz w:val="28"/>
          <w:szCs w:val="28"/>
          <w:lang w:bidi="ar-SA"/>
        </w:rPr>
        <w:footnoteReference w:id="7"/>
      </w:r>
      <w:r>
        <w:rPr>
          <w:rFonts w:eastAsia="Times New Roman" w:cs="Times New Roman" w:ascii="Times New Roman" w:hAnsi="Times New Roman"/>
          <w:sz w:val="28"/>
          <w:szCs w:val="28"/>
          <w:lang w:bidi="ar-SA"/>
        </w:rPr>
        <w:t xml:space="preserve">) предназначается для контроля, мониторинга и диагностики качества данных, передаваемых при выполнении государственных функций и предоставлении государственных услуг в соответствии с </w:t>
      </w:r>
      <w:bookmarkStart w:id="11" w:name="_Hlk203379349"/>
      <w:r>
        <w:rPr>
          <w:rFonts w:eastAsia="Times New Roman" w:cs="Times New Roman" w:ascii="Times New Roman" w:hAnsi="Times New Roman"/>
          <w:sz w:val="28"/>
          <w:szCs w:val="28"/>
          <w:lang w:bidi="ar-SA"/>
        </w:rPr>
        <w:t xml:space="preserve">Положением о НСУД и Положением </w:t>
        <w:br/>
        <w:t>о СМЭВ</w:t>
      </w:r>
      <w:bookmarkEnd w:id="11"/>
      <w:r>
        <w:rPr>
          <w:rFonts w:eastAsia="Times New Roman" w:cs="Times New Roman" w:ascii="Times New Roman" w:hAnsi="Times New Roman"/>
          <w:sz w:val="28"/>
          <w:szCs w:val="28"/>
          <w:lang w:bidi="ar-SA"/>
        </w:rPr>
        <w:t xml:space="preserve"> и в отношении которых обеспечивается соблюдение указанных </w:t>
        <w:br/>
        <w:t xml:space="preserve">в Положении о НСУД и Положении о СМЭВ требований, в том числе путем оперативного разрешения инцидентов качества данных, </w:t>
        <w:br/>
        <w:t xml:space="preserve">и поставляется со стандартными для всех пользователей функциями. Лицензиар не дает никаких дополнительных гарантий на использование </w:t>
        <w:br/>
        <w:t>или производительность ТПО УД, за исключением гарантий и условий, указанных в Договоре, или степень которых не может быть исключена или ограничена в соответствии с законодательством Российской Федерации.</w:t>
      </w:r>
    </w:p>
    <w:p>
      <w:pPr>
        <w:pStyle w:val="Normal"/>
        <w:tabs>
          <w:tab w:val="clear" w:pos="708"/>
          <w:tab w:val="left" w:pos="1422" w:leader="none"/>
        </w:tabs>
        <w:spacing w:lineRule="auto" w:line="240" w:before="0" w:after="0"/>
        <w:ind w:firstLine="709"/>
        <w:jc w:val="both"/>
        <w:rPr>
          <w:rFonts w:ascii="Times New Roman" w:hAnsi="Times New Roman" w:eastAsia="Times New Roman" w:cs="Times New Roman"/>
          <w:sz w:val="28"/>
          <w:szCs w:val="28"/>
          <w:lang w:bidi="ar-SA"/>
        </w:rPr>
      </w:pPr>
      <w:r>
        <w:rPr>
          <w:rFonts w:eastAsia="Times New Roman" w:cs="Times New Roman" w:ascii="Times New Roman" w:hAnsi="Times New Roman"/>
          <w:sz w:val="28"/>
          <w:szCs w:val="28"/>
          <w:lang w:bidi="ar-SA"/>
        </w:rPr>
        <w:t xml:space="preserve">4.2. Лицензиар не несет ответственности за проблемы, возникающие </w:t>
        <w:br/>
        <w:t xml:space="preserve">в процессе доступа, обновления, поддержки и эксплуатации ТПО УД </w:t>
        <w:br/>
        <w:t xml:space="preserve">(в том числе проблемы совместимости с другими программными продуктами), несоответствия результатов использования ТПО УД ожиданиям Лицензиата, </w:t>
        <w:br/>
        <w:t xml:space="preserve">а также за любые последствия, вызванные использованием </w:t>
        <w:br/>
        <w:t>или неиспользованием ТПО УД Лицензиатом, за исключением ситуаций, возникших в рамках предоставления технической поддержки и устранения технических ошибок, указанных в пункте 3.5 Договора.</w:t>
      </w:r>
    </w:p>
    <w:p>
      <w:pPr>
        <w:pStyle w:val="Normal"/>
        <w:tabs>
          <w:tab w:val="clear" w:pos="708"/>
          <w:tab w:val="left" w:pos="1422" w:leader="none"/>
        </w:tabs>
        <w:spacing w:lineRule="auto" w:line="240" w:before="0" w:after="0"/>
        <w:ind w:firstLine="709"/>
        <w:jc w:val="both"/>
        <w:rPr>
          <w:rFonts w:ascii="Times New Roman" w:hAnsi="Times New Roman" w:eastAsia="Times New Roman" w:cs="Times New Roman"/>
          <w:sz w:val="28"/>
          <w:szCs w:val="28"/>
          <w:lang w:bidi="ar-SA"/>
        </w:rPr>
      </w:pPr>
      <w:r>
        <w:rPr>
          <w:rFonts w:eastAsia="Times New Roman" w:cs="Times New Roman" w:ascii="Times New Roman" w:hAnsi="Times New Roman"/>
          <w:sz w:val="28"/>
          <w:szCs w:val="28"/>
          <w:lang w:bidi="ar-SA"/>
        </w:rPr>
        <w:t xml:space="preserve">4.3. Лицензиар не несет ответственности за любые убытки, включая упущенную выгоду, связанную с использованием или невозможностью использования какого-либо инструмента, отдельной функции или всего ТПО УД. Лицензиат принимает на себя ответственность и все риски, связанные с использованием ТПО УД. </w:t>
      </w:r>
    </w:p>
    <w:p>
      <w:pPr>
        <w:pStyle w:val="Normal"/>
        <w:shd w:fill="FFFFFF" w:val="clear"/>
        <w:tabs>
          <w:tab w:val="clear" w:pos="708"/>
          <w:tab w:val="left" w:pos="1422" w:leader="none"/>
        </w:tabs>
        <w:spacing w:lineRule="auto" w:line="240" w:before="0" w:after="0"/>
        <w:ind w:firstLine="709"/>
        <w:jc w:val="both"/>
        <w:rPr/>
      </w:pPr>
      <w:r>
        <w:rPr>
          <w:rFonts w:eastAsia="Times New Roman" w:cs="Times New Roman" w:ascii="Times New Roman" w:hAnsi="Times New Roman"/>
          <w:sz w:val="28"/>
          <w:szCs w:val="28"/>
          <w:lang w:bidi="ar-SA"/>
        </w:rPr>
        <w:t>4.4.</w:t>
      </w:r>
      <w:r>
        <w:rPr>
          <w:rFonts w:eastAsia="Times New Roman" w:cs="Times New Roman" w:ascii="Times New Roman" w:hAnsi="Times New Roman"/>
          <w:sz w:val="20"/>
          <w:szCs w:val="20"/>
          <w:lang w:bidi="ar-SA"/>
        </w:rPr>
        <w:t> </w:t>
      </w:r>
      <w:r>
        <w:rPr>
          <w:rFonts w:eastAsia="Times New Roman" w:cs="Times New Roman" w:ascii="Times New Roman" w:hAnsi="Times New Roman"/>
          <w:sz w:val="28"/>
          <w:szCs w:val="28"/>
          <w:lang w:bidi="ar-SA"/>
        </w:rPr>
        <w:t>Лицензиар оставляет за собой право отказать в предоставлении прав на использование ТПО УД при отключении Лицензиата от СМЭВ, при этом Лицензиат обязуется незамедлительно прекратить использование ТПО УД.</w:t>
      </w:r>
    </w:p>
    <w:p>
      <w:pPr>
        <w:pStyle w:val="Normal"/>
        <w:shd w:fill="FFFFFF" w:val="clear"/>
        <w:tabs>
          <w:tab w:val="clear" w:pos="708"/>
          <w:tab w:val="left" w:pos="1422" w:leader="none"/>
        </w:tabs>
        <w:spacing w:lineRule="auto" w:line="240" w:before="0" w:after="0"/>
        <w:ind w:firstLine="709"/>
        <w:jc w:val="both"/>
        <w:rPr>
          <w:rFonts w:ascii="Times New Roman" w:hAnsi="Times New Roman" w:eastAsia="Times New Roman" w:cs="Times New Roman"/>
          <w:b/>
          <w:sz w:val="28"/>
          <w:szCs w:val="28"/>
          <w:lang w:bidi="ar-SA"/>
        </w:rPr>
      </w:pPr>
      <w:r>
        <w:rPr/>
      </w:r>
      <w:bookmarkStart w:id="12" w:name="bookmark2"/>
      <w:bookmarkStart w:id="13" w:name="bookmark2"/>
    </w:p>
    <w:p>
      <w:pPr>
        <w:pStyle w:val="22"/>
        <w:shd w:fill="auto" w:val="clear"/>
        <w:spacing w:lineRule="auto" w:line="240" w:before="0" w:after="0"/>
        <w:ind w:left="0" w:right="0" w:hanging="0"/>
        <w:jc w:val="center"/>
        <w:rPr>
          <w:b/>
          <w:sz w:val="28"/>
          <w:szCs w:val="28"/>
        </w:rPr>
      </w:pPr>
      <w:bookmarkStart w:id="14" w:name="bookmark2"/>
      <w:r>
        <w:rPr>
          <w:b/>
          <w:sz w:val="28"/>
          <w:szCs w:val="28"/>
        </w:rPr>
        <w:t>5. Платежи</w:t>
      </w:r>
      <w:bookmarkEnd w:id="14"/>
    </w:p>
    <w:p>
      <w:pPr>
        <w:pStyle w:val="22"/>
        <w:shd w:fill="auto" w:val="clear"/>
        <w:spacing w:lineRule="auto" w:line="240" w:before="0" w:after="0"/>
        <w:ind w:left="0" w:right="0" w:hanging="0"/>
        <w:jc w:val="center"/>
        <w:rPr>
          <w:sz w:val="28"/>
          <w:szCs w:val="28"/>
        </w:rPr>
      </w:pPr>
      <w:r>
        <w:rPr>
          <w:b/>
          <w:sz w:val="28"/>
          <w:szCs w:val="28"/>
        </w:rPr>
      </w:r>
    </w:p>
    <w:p>
      <w:pPr>
        <w:pStyle w:val="22"/>
        <w:shd w:fill="auto" w:val="clear"/>
        <w:tabs>
          <w:tab w:val="clear" w:pos="708"/>
          <w:tab w:val="left" w:pos="1422" w:leader="none"/>
        </w:tabs>
        <w:spacing w:lineRule="auto" w:line="240" w:before="0" w:after="0"/>
        <w:ind w:left="0" w:right="0" w:firstLine="709"/>
        <w:rPr>
          <w:sz w:val="28"/>
          <w:szCs w:val="28"/>
        </w:rPr>
      </w:pPr>
      <w:r>
        <w:rPr>
          <w:sz w:val="28"/>
          <w:szCs w:val="28"/>
        </w:rPr>
        <w:t xml:space="preserve">Лицензия предоставляется Лицензиату безвозмездно. Вознаграждение </w:t>
        <w:br/>
        <w:t>не взимается.</w:t>
      </w:r>
    </w:p>
    <w:p>
      <w:pPr>
        <w:pStyle w:val="22"/>
        <w:shd w:fill="auto" w:val="clear"/>
        <w:tabs>
          <w:tab w:val="clear" w:pos="708"/>
          <w:tab w:val="left" w:pos="1422" w:leader="none"/>
        </w:tabs>
        <w:spacing w:lineRule="auto" w:line="240" w:before="0" w:after="0"/>
        <w:ind w:left="0" w:right="0" w:firstLine="709"/>
        <w:rPr/>
      </w:pPr>
      <w:r>
        <w:rPr/>
      </w:r>
    </w:p>
    <w:p>
      <w:pPr>
        <w:pStyle w:val="22"/>
        <w:shd w:fill="auto" w:val="clear"/>
        <w:tabs>
          <w:tab w:val="clear" w:pos="708"/>
          <w:tab w:val="left" w:pos="1422" w:leader="none"/>
        </w:tabs>
        <w:spacing w:lineRule="auto" w:line="240" w:before="0" w:after="0"/>
        <w:ind w:left="0" w:right="0" w:hanging="0"/>
        <w:jc w:val="center"/>
        <w:rPr>
          <w:b/>
          <w:sz w:val="28"/>
          <w:szCs w:val="28"/>
        </w:rPr>
      </w:pPr>
      <w:r>
        <w:rPr>
          <w:b/>
          <w:sz w:val="28"/>
          <w:szCs w:val="28"/>
        </w:rPr>
        <w:t>6. Защита конфиденциальности</w:t>
      </w:r>
    </w:p>
    <w:p>
      <w:pPr>
        <w:pStyle w:val="22"/>
        <w:shd w:fill="auto" w:val="clear"/>
        <w:tabs>
          <w:tab w:val="clear" w:pos="708"/>
          <w:tab w:val="left" w:pos="1422" w:leader="none"/>
        </w:tabs>
        <w:spacing w:lineRule="auto" w:line="240" w:before="0" w:after="0"/>
        <w:ind w:left="0" w:right="0" w:hanging="0"/>
        <w:jc w:val="center"/>
        <w:rPr>
          <w:sz w:val="28"/>
          <w:szCs w:val="28"/>
        </w:rPr>
      </w:pPr>
      <w:r>
        <w:rPr>
          <w:b/>
          <w:sz w:val="28"/>
          <w:szCs w:val="28"/>
        </w:rPr>
      </w:r>
    </w:p>
    <w:p>
      <w:pPr>
        <w:pStyle w:val="22"/>
        <w:shd w:fill="auto" w:val="clear"/>
        <w:tabs>
          <w:tab w:val="clear" w:pos="708"/>
          <w:tab w:val="left" w:pos="1422" w:leader="none"/>
        </w:tabs>
        <w:spacing w:lineRule="auto" w:line="240" w:before="0" w:after="0"/>
        <w:ind w:left="0" w:right="0" w:firstLine="709"/>
        <w:rPr>
          <w:sz w:val="28"/>
          <w:szCs w:val="28"/>
        </w:rPr>
      </w:pPr>
      <w:r>
        <w:rPr>
          <w:sz w:val="28"/>
          <w:szCs w:val="28"/>
        </w:rPr>
        <w:t>6.1. Стороны обязуются исключить доступ к конфиденциальной информации третьих лиц или представителей Сторон, не уполномоченных работать с конфиденциальной информацией, относящейся к Договору, за исключением случаев, предусмотренных пунктом 2.2 Договора. Стороны обязуются начиная с даты подписания и в течение 3 (трех) лет после прекращения действия Договора не передавать конфиденциальную информацию третьим лицам без письменного согласия другой Стороны.</w:t>
      </w:r>
    </w:p>
    <w:p>
      <w:pPr>
        <w:pStyle w:val="22"/>
        <w:shd w:fill="auto" w:val="clear"/>
        <w:tabs>
          <w:tab w:val="clear" w:pos="708"/>
          <w:tab w:val="left" w:pos="1422" w:leader="none"/>
        </w:tabs>
        <w:spacing w:lineRule="auto" w:line="240" w:before="0" w:after="0"/>
        <w:ind w:left="0" w:right="0" w:firstLine="709"/>
        <w:rPr>
          <w:sz w:val="28"/>
          <w:szCs w:val="28"/>
        </w:rPr>
      </w:pPr>
      <w:r>
        <w:rPr>
          <w:sz w:val="28"/>
          <w:szCs w:val="28"/>
        </w:rPr>
        <w:t xml:space="preserve">6.2. Любая информация, передача которой оформлена в письменном виде </w:t>
        <w:br/>
        <w:t>и отнесена Сторонами к Договору, считается конфиденциальной.</w:t>
      </w:r>
    </w:p>
    <w:p>
      <w:pPr>
        <w:pStyle w:val="22"/>
        <w:shd w:fill="auto" w:val="clear"/>
        <w:tabs>
          <w:tab w:val="clear" w:pos="708"/>
          <w:tab w:val="left" w:pos="1422" w:leader="none"/>
        </w:tabs>
        <w:spacing w:lineRule="auto" w:line="240" w:before="0" w:after="0"/>
        <w:ind w:left="0" w:right="0" w:firstLine="709"/>
        <w:rPr>
          <w:sz w:val="28"/>
          <w:szCs w:val="28"/>
        </w:rPr>
      </w:pPr>
      <w:r>
        <w:rPr>
          <w:sz w:val="28"/>
          <w:szCs w:val="28"/>
        </w:rPr>
        <w:t xml:space="preserve">6.3. Информация не будет считаться конфиденциальной, а Лицензиат </w:t>
        <w:br/>
        <w:t xml:space="preserve">не будет иметь никаких обязательств в отношении данной информации </w:t>
        <w:br/>
        <w:t>в случае, если она удовлетворяет одному из следующих условий:</w:t>
      </w:r>
    </w:p>
    <w:p>
      <w:pPr>
        <w:pStyle w:val="22"/>
        <w:shd w:fill="auto" w:val="clear"/>
        <w:tabs>
          <w:tab w:val="clear" w:pos="708"/>
          <w:tab w:val="left" w:pos="1422" w:leader="none"/>
        </w:tabs>
        <w:spacing w:lineRule="auto" w:line="240" w:before="0" w:after="0"/>
        <w:ind w:left="0" w:right="0" w:firstLine="709"/>
        <w:rPr>
          <w:sz w:val="28"/>
          <w:szCs w:val="28"/>
        </w:rPr>
      </w:pPr>
      <w:r>
        <w:rPr>
          <w:sz w:val="28"/>
          <w:szCs w:val="28"/>
        </w:rPr>
        <w:t xml:space="preserve">6.3.1. Является или становится общедоступной в соответствии </w:t>
        <w:br/>
        <w:t>с требованиями законодательства Российской Федерации;</w:t>
      </w:r>
    </w:p>
    <w:p>
      <w:pPr>
        <w:pStyle w:val="22"/>
        <w:shd w:fill="auto" w:val="clear"/>
        <w:tabs>
          <w:tab w:val="clear" w:pos="708"/>
          <w:tab w:val="left" w:pos="1422" w:leader="none"/>
        </w:tabs>
        <w:spacing w:lineRule="auto" w:line="240" w:before="0" w:after="0"/>
        <w:ind w:left="0" w:right="0" w:firstLine="709"/>
        <w:rPr>
          <w:sz w:val="28"/>
          <w:szCs w:val="28"/>
        </w:rPr>
      </w:pPr>
      <w:r>
        <w:rPr>
          <w:sz w:val="28"/>
          <w:szCs w:val="28"/>
        </w:rPr>
        <w:t>6.3.2. Является или становится публично известной в результате неправильного, небрежного или намеренного действия Лицензиара;</w:t>
      </w:r>
    </w:p>
    <w:p>
      <w:pPr>
        <w:pStyle w:val="22"/>
        <w:shd w:fill="auto" w:val="clear"/>
        <w:tabs>
          <w:tab w:val="clear" w:pos="708"/>
          <w:tab w:val="left" w:pos="1422" w:leader="none"/>
        </w:tabs>
        <w:spacing w:lineRule="auto" w:line="240" w:before="0" w:after="0"/>
        <w:ind w:left="0" w:right="0" w:firstLine="709"/>
        <w:rPr>
          <w:sz w:val="28"/>
          <w:szCs w:val="28"/>
        </w:rPr>
      </w:pPr>
      <w:r>
        <w:rPr>
          <w:sz w:val="28"/>
          <w:szCs w:val="28"/>
        </w:rPr>
        <w:t xml:space="preserve">6.3.3. Легально получена от третьей стороны без ограничения </w:t>
        <w:br/>
        <w:t>и без нарушения Договора;</w:t>
      </w:r>
    </w:p>
    <w:p>
      <w:pPr>
        <w:pStyle w:val="22"/>
        <w:shd w:fill="auto" w:val="clear"/>
        <w:tabs>
          <w:tab w:val="clear" w:pos="708"/>
          <w:tab w:val="left" w:pos="1422" w:leader="none"/>
        </w:tabs>
        <w:spacing w:lineRule="auto" w:line="240" w:before="0" w:after="0"/>
        <w:ind w:left="0" w:right="0" w:firstLine="709"/>
        <w:rPr>
          <w:sz w:val="28"/>
          <w:szCs w:val="28"/>
        </w:rPr>
      </w:pPr>
      <w:r>
        <w:rPr>
          <w:sz w:val="28"/>
          <w:szCs w:val="28"/>
        </w:rPr>
        <w:t>6.3.4. Представлена третьей стороне Лицензиаром без аналогичного ограничения на права третьей стороны;</w:t>
      </w:r>
    </w:p>
    <w:p>
      <w:pPr>
        <w:pStyle w:val="22"/>
        <w:shd w:fill="auto" w:val="clear"/>
        <w:tabs>
          <w:tab w:val="clear" w:pos="708"/>
          <w:tab w:val="left" w:pos="1422" w:leader="none"/>
        </w:tabs>
        <w:spacing w:lineRule="auto" w:line="240" w:before="0" w:after="0"/>
        <w:ind w:left="0" w:right="0" w:firstLine="709"/>
        <w:rPr>
          <w:sz w:val="28"/>
          <w:szCs w:val="28"/>
        </w:rPr>
      </w:pPr>
      <w:r>
        <w:rPr>
          <w:sz w:val="28"/>
          <w:szCs w:val="28"/>
        </w:rPr>
        <w:t xml:space="preserve">6.3.5. Независимо разработана Лицензиатом при условии, что лицо </w:t>
        <w:br/>
        <w:t>или лица, разработавшие ее, не имели доступа к конфиденциальной информации, переданной Лицензиаром;</w:t>
      </w:r>
    </w:p>
    <w:p>
      <w:pPr>
        <w:pStyle w:val="22"/>
        <w:shd w:fill="auto" w:val="clear"/>
        <w:tabs>
          <w:tab w:val="clear" w:pos="708"/>
          <w:tab w:val="left" w:pos="1422" w:leader="none"/>
        </w:tabs>
        <w:spacing w:lineRule="auto" w:line="240" w:before="0" w:after="0"/>
        <w:ind w:left="0" w:right="0" w:firstLine="709"/>
        <w:rPr>
          <w:sz w:val="28"/>
          <w:szCs w:val="28"/>
        </w:rPr>
      </w:pPr>
      <w:r>
        <w:rPr>
          <w:sz w:val="28"/>
          <w:szCs w:val="28"/>
        </w:rPr>
        <w:t>6.3.6. Разрешена к оглашению с письменного согласия Лицензиара.</w:t>
      </w:r>
    </w:p>
    <w:p>
      <w:pPr>
        <w:pStyle w:val="22"/>
        <w:shd w:fill="auto" w:val="clear"/>
        <w:tabs>
          <w:tab w:val="clear" w:pos="708"/>
          <w:tab w:val="left" w:pos="1422" w:leader="none"/>
        </w:tabs>
        <w:spacing w:lineRule="auto" w:line="240" w:before="0" w:after="0"/>
        <w:ind w:left="0" w:right="0" w:firstLine="709"/>
        <w:rPr>
          <w:sz w:val="28"/>
          <w:szCs w:val="28"/>
        </w:rPr>
      </w:pPr>
      <w:r>
        <w:rPr>
          <w:sz w:val="28"/>
          <w:szCs w:val="28"/>
        </w:rPr>
        <w:t>6.4. Стороны несут ответственность за:</w:t>
      </w:r>
    </w:p>
    <w:p>
      <w:pPr>
        <w:pStyle w:val="22"/>
        <w:shd w:fill="auto" w:val="clear"/>
        <w:tabs>
          <w:tab w:val="clear" w:pos="708"/>
          <w:tab w:val="left" w:pos="1422" w:leader="none"/>
        </w:tabs>
        <w:spacing w:lineRule="auto" w:line="240" w:before="0" w:after="0"/>
        <w:ind w:left="0" w:right="0" w:firstLine="709"/>
        <w:rPr>
          <w:sz w:val="28"/>
          <w:szCs w:val="28"/>
        </w:rPr>
      </w:pPr>
      <w:r>
        <w:rPr>
          <w:sz w:val="28"/>
          <w:szCs w:val="28"/>
        </w:rPr>
        <w:t xml:space="preserve">6.4.1. Неумышленное разглашение или использование конфиденциальной информации, если Сторона не соблюдает столь же высокой степени осторожности, какую бы соблюдала в разумных пределах в отношении своей собственной конфиденциальной информации аналогичной важности, а также </w:t>
        <w:br/>
        <w:t xml:space="preserve">в случае, если после обнаружения неумышленного разглашения </w:t>
        <w:br/>
        <w:t xml:space="preserve">или использования этой информации Сторона не пытается прекратить </w:t>
        <w:br/>
        <w:t>ее использование;</w:t>
      </w:r>
    </w:p>
    <w:p>
      <w:pPr>
        <w:pStyle w:val="22"/>
        <w:shd w:fill="auto" w:val="clear"/>
        <w:tabs>
          <w:tab w:val="clear" w:pos="708"/>
          <w:tab w:val="left" w:pos="1422" w:leader="none"/>
        </w:tabs>
        <w:spacing w:lineRule="auto" w:line="240" w:before="0" w:after="0"/>
        <w:ind w:left="0" w:right="0" w:firstLine="709"/>
        <w:rPr>
          <w:sz w:val="28"/>
          <w:szCs w:val="28"/>
        </w:rPr>
      </w:pPr>
      <w:r>
        <w:rPr>
          <w:sz w:val="28"/>
          <w:szCs w:val="28"/>
        </w:rPr>
        <w:t>6.4.2. Разглашение или использование конфиденциальной информации лицами, которые работают или работали на Сторону по найму, если Стороне не удалось сохранить эту информацию со столь же высокой степенью тщательности, какую бы Сторона соблюдала в разумных пределах в отношении своей собственной конфиденциальной информации аналогичной важности, если она не докажет, что разглашение произошло не по ее вине.</w:t>
      </w:r>
    </w:p>
    <w:p>
      <w:pPr>
        <w:pStyle w:val="22"/>
        <w:shd w:fill="auto" w:val="clear"/>
        <w:tabs>
          <w:tab w:val="clear" w:pos="708"/>
          <w:tab w:val="left" w:pos="1418" w:leader="none"/>
        </w:tabs>
        <w:spacing w:lineRule="auto" w:line="240" w:before="0" w:after="0"/>
        <w:ind w:left="0" w:right="0" w:firstLine="709"/>
        <w:rPr>
          <w:sz w:val="28"/>
          <w:szCs w:val="28"/>
        </w:rPr>
      </w:pPr>
      <w:r>
        <w:rPr>
          <w:sz w:val="28"/>
          <w:szCs w:val="28"/>
        </w:rPr>
        <w:t xml:space="preserve">6.5. Вся информация, передаваемая Лицензиаром Лицензиату </w:t>
        <w:br/>
        <w:t>в какой-либо форме согласно Договору, будет и останется исключительной собственностью Лицензиара.</w:t>
      </w:r>
    </w:p>
    <w:p>
      <w:pPr>
        <w:pStyle w:val="22"/>
        <w:shd w:fill="auto" w:val="clear"/>
        <w:tabs>
          <w:tab w:val="clear" w:pos="708"/>
          <w:tab w:val="left" w:pos="1418" w:leader="none"/>
        </w:tabs>
        <w:spacing w:lineRule="auto" w:line="240" w:before="0" w:after="0"/>
        <w:ind w:left="0" w:right="0" w:firstLine="709"/>
        <w:rPr>
          <w:b/>
          <w:sz w:val="28"/>
          <w:szCs w:val="28"/>
        </w:rPr>
      </w:pPr>
      <w:r>
        <w:rPr>
          <w:sz w:val="28"/>
          <w:szCs w:val="28"/>
        </w:rPr>
      </w:r>
      <w:bookmarkStart w:id="15" w:name="bookmark3"/>
      <w:bookmarkStart w:id="16" w:name="bookmark3"/>
    </w:p>
    <w:p>
      <w:pPr>
        <w:pStyle w:val="22"/>
        <w:shd w:fill="auto" w:val="clear"/>
        <w:spacing w:lineRule="auto" w:line="240" w:before="0" w:after="0"/>
        <w:ind w:left="0" w:right="0" w:hanging="0"/>
        <w:jc w:val="center"/>
        <w:rPr>
          <w:b/>
          <w:sz w:val="28"/>
          <w:szCs w:val="28"/>
        </w:rPr>
      </w:pPr>
      <w:bookmarkStart w:id="17" w:name="bookmark3"/>
      <w:r>
        <w:rPr>
          <w:b/>
          <w:sz w:val="28"/>
          <w:szCs w:val="28"/>
        </w:rPr>
        <w:t>7. Защита передаваемых прав</w:t>
      </w:r>
      <w:bookmarkEnd w:id="17"/>
    </w:p>
    <w:p>
      <w:pPr>
        <w:pStyle w:val="22"/>
        <w:shd w:fill="auto" w:val="clear"/>
        <w:spacing w:lineRule="auto" w:line="240" w:before="0" w:after="0"/>
        <w:ind w:left="0" w:right="0" w:hanging="0"/>
        <w:jc w:val="center"/>
        <w:rPr>
          <w:b/>
          <w:sz w:val="28"/>
          <w:szCs w:val="28"/>
        </w:rPr>
      </w:pPr>
      <w:r>
        <w:rPr>
          <w:b/>
          <w:sz w:val="28"/>
          <w:szCs w:val="28"/>
        </w:rPr>
      </w:r>
    </w:p>
    <w:p>
      <w:pPr>
        <w:pStyle w:val="22"/>
        <w:tabs>
          <w:tab w:val="clear" w:pos="708"/>
          <w:tab w:val="left" w:pos="1422" w:leader="none"/>
        </w:tabs>
        <w:spacing w:lineRule="auto" w:line="240" w:before="0" w:after="0"/>
        <w:ind w:left="0" w:right="0" w:firstLine="709"/>
        <w:rPr>
          <w:sz w:val="28"/>
          <w:szCs w:val="28"/>
        </w:rPr>
      </w:pPr>
      <w:r>
        <w:rPr>
          <w:sz w:val="28"/>
          <w:szCs w:val="28"/>
        </w:rPr>
        <w:t xml:space="preserve">7.1. Лицензиар гарантирует, что надлежащим образом наделен всеми необходимыми полномочиями и правами на использование ТПО УД, а также на предоставление права использования ТПО УД на условиях, предусмотренных Договором. Лицензиат обязуется использовать ТПО УД </w:t>
        <w:br/>
        <w:t xml:space="preserve">в соответствии с пунктом 7 Положения о НСУД и пунктом 11 Положения </w:t>
        <w:br/>
        <w:t>о СМЭВ.</w:t>
      </w:r>
    </w:p>
    <w:p>
      <w:pPr>
        <w:pStyle w:val="22"/>
        <w:tabs>
          <w:tab w:val="clear" w:pos="708"/>
          <w:tab w:val="left" w:pos="1422" w:leader="none"/>
        </w:tabs>
        <w:spacing w:lineRule="auto" w:line="240" w:before="0" w:after="0"/>
        <w:ind w:left="0" w:right="0" w:firstLine="709"/>
        <w:rPr>
          <w:sz w:val="28"/>
          <w:szCs w:val="28"/>
        </w:rPr>
      </w:pPr>
      <w:r>
        <w:rPr>
          <w:sz w:val="28"/>
          <w:szCs w:val="28"/>
        </w:rPr>
        <w:t>7.2. Лицензиат признает права Лицензиара на результаты интеллектуальной деятельности и обязуется использовать ТПО УД исключительно в целях, указанных в пунктах 1.2 и 1.3 Договора.</w:t>
      </w:r>
    </w:p>
    <w:p>
      <w:pPr>
        <w:pStyle w:val="22"/>
        <w:shd w:fill="auto" w:val="clear"/>
        <w:tabs>
          <w:tab w:val="clear" w:pos="708"/>
          <w:tab w:val="left" w:pos="1422" w:leader="none"/>
        </w:tabs>
        <w:spacing w:lineRule="auto" w:line="240" w:before="0" w:after="0"/>
        <w:ind w:left="0" w:right="0" w:firstLine="709"/>
        <w:rPr>
          <w:sz w:val="28"/>
          <w:szCs w:val="28"/>
        </w:rPr>
      </w:pPr>
      <w:r>
        <w:rPr>
          <w:sz w:val="28"/>
          <w:szCs w:val="28"/>
        </w:rPr>
        <w:t>7.3. О случаях противоправного использования третьими лицами ТПО УД, ставших известными Лицензиату, Лицензиат обязан незамедлительно уведомить Лицензиара.</w:t>
      </w:r>
    </w:p>
    <w:p>
      <w:pPr>
        <w:pStyle w:val="22"/>
        <w:shd w:fill="auto" w:val="clear"/>
        <w:tabs>
          <w:tab w:val="clear" w:pos="708"/>
          <w:tab w:val="left" w:pos="1422" w:leader="none"/>
        </w:tabs>
        <w:spacing w:lineRule="auto" w:line="240" w:before="0" w:after="0"/>
        <w:ind w:left="0" w:right="0" w:firstLine="709"/>
        <w:rPr>
          <w:sz w:val="28"/>
          <w:szCs w:val="28"/>
        </w:rPr>
      </w:pPr>
      <w:r>
        <w:rPr>
          <w:sz w:val="28"/>
          <w:szCs w:val="28"/>
        </w:rPr>
        <w:t xml:space="preserve">7.4. Лицензиар обязуется в срок не более 3 (трех) рабочих дней уведомить Лицензиата в случае прекращения исключительных прав Лицензиара </w:t>
        <w:br/>
        <w:t>на ТПО УД.</w:t>
      </w:r>
    </w:p>
    <w:p>
      <w:pPr>
        <w:pStyle w:val="22"/>
        <w:shd w:fill="auto" w:val="clear"/>
        <w:tabs>
          <w:tab w:val="clear" w:pos="708"/>
          <w:tab w:val="left" w:pos="1422" w:leader="none"/>
        </w:tabs>
        <w:spacing w:lineRule="auto" w:line="240" w:before="0" w:after="0"/>
        <w:ind w:left="0" w:right="0" w:firstLine="709"/>
        <w:rPr>
          <w:b/>
          <w:sz w:val="28"/>
          <w:szCs w:val="28"/>
        </w:rPr>
      </w:pPr>
      <w:r>
        <w:rPr>
          <w:sz w:val="28"/>
          <w:szCs w:val="28"/>
        </w:rPr>
      </w:r>
      <w:bookmarkStart w:id="18" w:name="bookmark4"/>
      <w:bookmarkStart w:id="19" w:name="bookmark4"/>
    </w:p>
    <w:p>
      <w:pPr>
        <w:pStyle w:val="22"/>
        <w:shd w:fill="auto" w:val="clear"/>
        <w:spacing w:lineRule="auto" w:line="240" w:before="0" w:after="0"/>
        <w:ind w:left="0" w:right="0" w:hanging="0"/>
        <w:jc w:val="center"/>
        <w:rPr>
          <w:b/>
          <w:sz w:val="28"/>
          <w:szCs w:val="28"/>
        </w:rPr>
      </w:pPr>
      <w:bookmarkStart w:id="20" w:name="bookmark4"/>
      <w:r>
        <w:rPr>
          <w:b/>
          <w:sz w:val="28"/>
          <w:szCs w:val="28"/>
        </w:rPr>
        <w:t>8. Обстоятельства непреодолимой силы</w:t>
      </w:r>
      <w:bookmarkEnd w:id="20"/>
    </w:p>
    <w:p>
      <w:pPr>
        <w:pStyle w:val="22"/>
        <w:shd w:fill="auto" w:val="clear"/>
        <w:spacing w:lineRule="auto" w:line="240" w:before="0" w:after="0"/>
        <w:ind w:left="0" w:right="0" w:hanging="0"/>
        <w:jc w:val="center"/>
        <w:rPr>
          <w:sz w:val="28"/>
          <w:szCs w:val="28"/>
        </w:rPr>
      </w:pPr>
      <w:r>
        <w:rPr>
          <w:b/>
          <w:sz w:val="28"/>
          <w:szCs w:val="28"/>
        </w:rPr>
      </w:r>
    </w:p>
    <w:p>
      <w:pPr>
        <w:pStyle w:val="22"/>
        <w:shd w:fill="auto" w:val="clear"/>
        <w:tabs>
          <w:tab w:val="clear" w:pos="708"/>
          <w:tab w:val="left" w:pos="1422" w:leader="none"/>
        </w:tabs>
        <w:spacing w:lineRule="auto" w:line="240" w:before="0" w:after="0"/>
        <w:ind w:left="0" w:right="0" w:firstLine="709"/>
        <w:rPr>
          <w:sz w:val="28"/>
          <w:szCs w:val="28"/>
        </w:rPr>
      </w:pPr>
      <w:r>
        <w:rPr>
          <w:sz w:val="28"/>
          <w:szCs w:val="28"/>
        </w:rPr>
        <w:t xml:space="preserve">8.1. Стороны освобождаются от ответственности за неисполнение </w:t>
        <w:br/>
        <w:t>или ненадлежащее исполнение обязательств по Договору в случае наступления обстоятельств непреодолимой силы.</w:t>
      </w:r>
    </w:p>
    <w:p>
      <w:pPr>
        <w:pStyle w:val="22"/>
        <w:shd w:fill="auto" w:val="clear"/>
        <w:tabs>
          <w:tab w:val="clear" w:pos="708"/>
          <w:tab w:val="left" w:pos="1422" w:leader="none"/>
        </w:tabs>
        <w:spacing w:lineRule="auto" w:line="240" w:before="0" w:after="0"/>
        <w:ind w:left="0" w:right="0" w:firstLine="709"/>
        <w:rPr/>
      </w:pPr>
      <w:r>
        <w:rPr>
          <w:sz w:val="28"/>
          <w:szCs w:val="28"/>
        </w:rPr>
        <w:t xml:space="preserve">8.2. Для целей Договора «непреодолимая сила» означает </w:t>
      </w:r>
      <w:r>
        <w:rPr>
          <w:rFonts w:eastAsia="Arial Unicode MS"/>
          <w:sz w:val="28"/>
          <w:szCs w:val="28"/>
        </w:rPr>
        <w:t>чрезвычайные и непредотвратимые обстоятельства в соответствии с пунктом 3 статьи 401 Гражданского кодекса Российской Федерации. Реорганизация, ликвидация или иное изменение правового статуса одной из Сторон для целей Договора не является обстоятельством непреодолимой силы</w:t>
      </w:r>
      <w:r>
        <w:rPr>
          <w:sz w:val="28"/>
          <w:szCs w:val="28"/>
        </w:rPr>
        <w:t>.</w:t>
      </w:r>
    </w:p>
    <w:p>
      <w:pPr>
        <w:pStyle w:val="22"/>
        <w:shd w:fill="auto" w:val="clear"/>
        <w:tabs>
          <w:tab w:val="clear" w:pos="708"/>
          <w:tab w:val="left" w:pos="1422" w:leader="none"/>
        </w:tabs>
        <w:spacing w:lineRule="auto" w:line="240" w:before="0" w:after="0"/>
        <w:ind w:left="0" w:right="0" w:firstLine="709"/>
        <w:rPr>
          <w:sz w:val="28"/>
          <w:szCs w:val="28"/>
        </w:rPr>
      </w:pPr>
      <w:r>
        <w:rPr>
          <w:sz w:val="28"/>
          <w:szCs w:val="28"/>
        </w:rPr>
        <w:t>8.3. Невыполнение Стороной каких-либо обязательств по Договору не считается нарушением или несоблюдением условий Договора, если такое невыполнение произошло вследствие непреодолимой силы, при условии, что Сторона, пострадавшая от такого события, предприняла все разумные меры предосторожности, проявила надлежащую осмотрительность и осуществила разумные альтернативные действия, чтобы выполнить условия Договора.</w:t>
      </w:r>
    </w:p>
    <w:p>
      <w:pPr>
        <w:pStyle w:val="22"/>
        <w:shd w:fill="auto" w:val="clear"/>
        <w:tabs>
          <w:tab w:val="clear" w:pos="708"/>
          <w:tab w:val="left" w:pos="1422" w:leader="none"/>
        </w:tabs>
        <w:spacing w:lineRule="auto" w:line="240" w:before="0" w:after="0"/>
        <w:ind w:left="0" w:right="0" w:firstLine="709"/>
        <w:rPr>
          <w:sz w:val="28"/>
          <w:szCs w:val="28"/>
        </w:rPr>
      </w:pPr>
      <w:r>
        <w:rPr>
          <w:sz w:val="28"/>
          <w:szCs w:val="28"/>
        </w:rPr>
        <w:t>8.4. При возникновении обстоятельств непреодолимой силы выполнение Сторонами их обязательств по Договору продлевается на срок действия данных обстоятельств.</w:t>
      </w:r>
    </w:p>
    <w:p>
      <w:pPr>
        <w:pStyle w:val="22"/>
        <w:shd w:fill="auto" w:val="clear"/>
        <w:tabs>
          <w:tab w:val="clear" w:pos="708"/>
          <w:tab w:val="left" w:pos="1422" w:leader="none"/>
        </w:tabs>
        <w:spacing w:lineRule="auto" w:line="240" w:before="0" w:after="0"/>
        <w:ind w:left="0" w:right="0" w:firstLine="709"/>
        <w:rPr>
          <w:sz w:val="28"/>
          <w:szCs w:val="28"/>
        </w:rPr>
      </w:pPr>
      <w:r>
        <w:rPr>
          <w:sz w:val="28"/>
          <w:szCs w:val="28"/>
        </w:rPr>
        <w:t xml:space="preserve">8.5. О наступлении обстоятельств непреодолимой силы Стороны обязаны уведомить друг друга в течение 5 (пяти) рабочих дней с момента наступления таких обстоятельств. </w:t>
      </w:r>
    </w:p>
    <w:p>
      <w:pPr>
        <w:pStyle w:val="22"/>
        <w:shd w:fill="auto" w:val="clear"/>
        <w:tabs>
          <w:tab w:val="clear" w:pos="708"/>
          <w:tab w:val="left" w:pos="1422" w:leader="none"/>
        </w:tabs>
        <w:spacing w:lineRule="auto" w:line="240" w:before="0" w:after="0"/>
        <w:ind w:left="0" w:right="0" w:firstLine="709"/>
        <w:rPr>
          <w:sz w:val="28"/>
          <w:szCs w:val="28"/>
        </w:rPr>
      </w:pPr>
      <w:r>
        <w:rPr>
          <w:sz w:val="28"/>
          <w:szCs w:val="28"/>
        </w:rPr>
        <w:t xml:space="preserve">8.6. Наступление обстоятельств непреодолимой силы, не являющихся общеизвестными фактами или не оформленных нормативными правовыми </w:t>
        <w:br/>
        <w:t xml:space="preserve">актами, подтверждается документами (справками), выданными компетентными </w:t>
        <w:br/>
        <w:t xml:space="preserve">органами, уполномоченными фиксировать указанные факты на территории </w:t>
        <w:br/>
        <w:t>Российской Федерации.</w:t>
      </w:r>
    </w:p>
    <w:p>
      <w:pPr>
        <w:pStyle w:val="22"/>
        <w:shd w:fill="auto" w:val="clear"/>
        <w:tabs>
          <w:tab w:val="clear" w:pos="708"/>
          <w:tab w:val="left" w:pos="1422" w:leader="none"/>
        </w:tabs>
        <w:spacing w:lineRule="auto" w:line="240" w:before="0" w:after="0"/>
        <w:ind w:left="0" w:right="0" w:firstLine="709"/>
        <w:rPr>
          <w:b/>
          <w:sz w:val="28"/>
          <w:szCs w:val="28"/>
        </w:rPr>
      </w:pPr>
      <w:r>
        <w:rPr>
          <w:sz w:val="28"/>
          <w:szCs w:val="28"/>
        </w:rPr>
      </w:r>
      <w:bookmarkStart w:id="21" w:name="bookmark5"/>
      <w:bookmarkStart w:id="22" w:name="bookmark5"/>
    </w:p>
    <w:p>
      <w:pPr>
        <w:pStyle w:val="22"/>
        <w:shd w:fill="auto" w:val="clear"/>
        <w:tabs>
          <w:tab w:val="clear" w:pos="708"/>
          <w:tab w:val="left" w:pos="1422" w:leader="none"/>
        </w:tabs>
        <w:spacing w:lineRule="auto" w:line="240" w:before="0" w:after="0"/>
        <w:ind w:left="0" w:right="0" w:hanging="0"/>
        <w:jc w:val="center"/>
        <w:rPr>
          <w:b/>
          <w:sz w:val="28"/>
          <w:szCs w:val="28"/>
        </w:rPr>
      </w:pPr>
      <w:bookmarkStart w:id="23" w:name="bookmark5"/>
      <w:r>
        <w:rPr>
          <w:b/>
          <w:sz w:val="28"/>
          <w:szCs w:val="28"/>
        </w:rPr>
        <w:t>9. Разрешение споров</w:t>
      </w:r>
      <w:bookmarkEnd w:id="23"/>
    </w:p>
    <w:p>
      <w:pPr>
        <w:pStyle w:val="22"/>
        <w:shd w:fill="auto" w:val="clear"/>
        <w:tabs>
          <w:tab w:val="clear" w:pos="708"/>
          <w:tab w:val="left" w:pos="1422" w:leader="none"/>
        </w:tabs>
        <w:spacing w:lineRule="auto" w:line="240" w:before="0" w:after="0"/>
        <w:ind w:left="0" w:right="0" w:hanging="0"/>
        <w:jc w:val="center"/>
        <w:rPr>
          <w:sz w:val="28"/>
          <w:szCs w:val="28"/>
        </w:rPr>
      </w:pPr>
      <w:r>
        <w:rPr>
          <w:b/>
          <w:sz w:val="28"/>
          <w:szCs w:val="28"/>
        </w:rPr>
      </w:r>
    </w:p>
    <w:p>
      <w:pPr>
        <w:pStyle w:val="22"/>
        <w:shd w:fill="auto" w:val="clear"/>
        <w:tabs>
          <w:tab w:val="clear" w:pos="708"/>
          <w:tab w:val="left" w:pos="1422" w:leader="none"/>
        </w:tabs>
        <w:spacing w:lineRule="auto" w:line="240" w:before="0" w:after="0"/>
        <w:ind w:left="0" w:right="0" w:firstLine="709"/>
        <w:rPr>
          <w:sz w:val="28"/>
          <w:szCs w:val="28"/>
        </w:rPr>
      </w:pPr>
      <w:r>
        <w:rPr>
          <w:sz w:val="28"/>
          <w:szCs w:val="28"/>
        </w:rPr>
        <w:t xml:space="preserve">9.1. В случае возникновения споров между Лицензиаром и Лицензиатом </w:t>
        <w:br/>
        <w:t>по вопросам, предусмотренным Договором, или в связи с ним Стороны примут все меры к разрешению их путем переговоров.</w:t>
      </w:r>
    </w:p>
    <w:p>
      <w:pPr>
        <w:pStyle w:val="22"/>
        <w:tabs>
          <w:tab w:val="clear" w:pos="708"/>
          <w:tab w:val="left" w:pos="1422" w:leader="none"/>
        </w:tabs>
        <w:spacing w:lineRule="auto" w:line="240" w:before="0" w:after="0"/>
        <w:ind w:left="0" w:right="0" w:firstLine="709"/>
        <w:rPr>
          <w:sz w:val="28"/>
          <w:szCs w:val="28"/>
        </w:rPr>
      </w:pPr>
      <w:r>
        <w:rPr>
          <w:sz w:val="28"/>
          <w:szCs w:val="28"/>
        </w:rPr>
        <w:t xml:space="preserve">9.2. Претензионный порядок досудебного урегулирования споров из Договора является для Сторон обязательным. Претензия оформляется в письменной форме. В подтверждение заявленных требований в претензии могут быть указаны сведения, которые, по мнению Стороны, направляющей претензию, будут способствовать более быстрому и правильному ее рассмотрению, объективному урегулированию спора, также к претензии могут быть приложены надлежащим образом оформленные необходимые документы либо выписки из них. Срок рассмотрения писем, уведомлений или претензий не может превышать 14 (четырнадцать) календарных дней </w:t>
        <w:br/>
        <w:t>с даты их получения Стороной.</w:t>
      </w:r>
    </w:p>
    <w:p>
      <w:pPr>
        <w:pStyle w:val="22"/>
        <w:tabs>
          <w:tab w:val="clear" w:pos="708"/>
          <w:tab w:val="left" w:pos="1422" w:leader="none"/>
        </w:tabs>
        <w:spacing w:lineRule="auto" w:line="240" w:before="0" w:after="0"/>
        <w:ind w:left="0" w:right="0" w:firstLine="709"/>
        <w:rPr>
          <w:sz w:val="28"/>
          <w:szCs w:val="28"/>
        </w:rPr>
      </w:pPr>
      <w:r>
        <w:rPr>
          <w:sz w:val="28"/>
          <w:szCs w:val="28"/>
        </w:rPr>
        <w:t xml:space="preserve">9.3. В случае невозможности разрешения указанных споров путем переговоров они должны разрешаться Арбитражным судом г. Москвы </w:t>
        <w:br/>
        <w:t>в соответствии с законодательством Российской Федерации.</w:t>
      </w:r>
    </w:p>
    <w:p>
      <w:pPr>
        <w:pStyle w:val="22"/>
        <w:tabs>
          <w:tab w:val="clear" w:pos="708"/>
          <w:tab w:val="left" w:pos="1422" w:leader="none"/>
        </w:tabs>
        <w:spacing w:lineRule="auto" w:line="240" w:before="0" w:after="0"/>
        <w:ind w:left="0" w:right="0" w:firstLine="709"/>
        <w:rPr>
          <w:sz w:val="28"/>
          <w:szCs w:val="28"/>
        </w:rPr>
      </w:pPr>
      <w:r>
        <w:rPr>
          <w:sz w:val="28"/>
          <w:szCs w:val="28"/>
        </w:rPr>
      </w:r>
    </w:p>
    <w:p>
      <w:pPr>
        <w:pStyle w:val="22"/>
        <w:tabs>
          <w:tab w:val="clear" w:pos="708"/>
          <w:tab w:val="left" w:pos="1422" w:leader="none"/>
        </w:tabs>
        <w:spacing w:lineRule="auto" w:line="240" w:before="0" w:after="0"/>
        <w:ind w:left="0" w:right="0" w:firstLine="709"/>
        <w:rPr>
          <w:b/>
          <w:sz w:val="4"/>
          <w:szCs w:val="4"/>
        </w:rPr>
      </w:pPr>
      <w:r>
        <w:rPr>
          <w:sz w:val="28"/>
          <w:szCs w:val="28"/>
        </w:rPr>
      </w:r>
      <w:bookmarkStart w:id="24" w:name="bookmark6"/>
      <w:bookmarkStart w:id="25" w:name="bookmark6"/>
    </w:p>
    <w:p>
      <w:pPr>
        <w:pStyle w:val="22"/>
        <w:shd w:fill="auto" w:val="clear"/>
        <w:spacing w:lineRule="auto" w:line="240" w:before="0" w:after="0"/>
        <w:ind w:left="0" w:right="0" w:hanging="0"/>
        <w:jc w:val="center"/>
        <w:rPr>
          <w:sz w:val="28"/>
          <w:szCs w:val="28"/>
        </w:rPr>
      </w:pPr>
      <w:r>
        <w:rPr>
          <w:b/>
          <w:sz w:val="4"/>
          <w:szCs w:val="4"/>
        </w:rPr>
      </w:r>
    </w:p>
    <w:p>
      <w:pPr>
        <w:pStyle w:val="22"/>
        <w:shd w:fill="auto" w:val="clear"/>
        <w:spacing w:lineRule="auto" w:line="240" w:before="0" w:after="0"/>
        <w:ind w:left="0" w:right="0" w:hanging="0"/>
        <w:jc w:val="center"/>
        <w:rPr>
          <w:b/>
          <w:sz w:val="4"/>
          <w:szCs w:val="4"/>
        </w:rPr>
      </w:pPr>
      <w:bookmarkStart w:id="26" w:name="bookmark6"/>
      <w:r>
        <w:rPr>
          <w:b/>
          <w:sz w:val="28"/>
          <w:szCs w:val="28"/>
        </w:rPr>
        <w:t>10. Срок действия Договора и Лицензии</w:t>
      </w:r>
      <w:bookmarkEnd w:id="26"/>
    </w:p>
    <w:p>
      <w:pPr>
        <w:pStyle w:val="22"/>
        <w:shd w:fill="auto" w:val="clear"/>
        <w:spacing w:lineRule="auto" w:line="240" w:before="0" w:after="0"/>
        <w:ind w:left="0" w:right="0" w:hanging="0"/>
        <w:jc w:val="center"/>
        <w:rPr>
          <w:b/>
          <w:sz w:val="28"/>
          <w:szCs w:val="28"/>
        </w:rPr>
      </w:pPr>
      <w:r>
        <w:rPr>
          <w:b/>
          <w:sz w:val="28"/>
          <w:szCs w:val="28"/>
        </w:rPr>
      </w:r>
    </w:p>
    <w:p>
      <w:pPr>
        <w:pStyle w:val="22"/>
        <w:shd w:fill="auto" w:val="clear"/>
        <w:spacing w:lineRule="auto" w:line="240" w:before="0" w:after="0"/>
        <w:ind w:left="0" w:right="0" w:hanging="0"/>
        <w:jc w:val="center"/>
        <w:rPr>
          <w:sz w:val="28"/>
          <w:szCs w:val="28"/>
        </w:rPr>
      </w:pPr>
      <w:r>
        <w:rPr>
          <w:b/>
          <w:sz w:val="4"/>
          <w:szCs w:val="4"/>
        </w:rPr>
      </w:r>
    </w:p>
    <w:p>
      <w:pPr>
        <w:pStyle w:val="22"/>
        <w:shd w:fill="auto" w:val="clear"/>
        <w:tabs>
          <w:tab w:val="clear" w:pos="708"/>
          <w:tab w:val="left" w:pos="1422" w:leader="none"/>
        </w:tabs>
        <w:spacing w:lineRule="auto" w:line="240" w:before="0" w:after="0"/>
        <w:ind w:left="0" w:right="0" w:firstLine="709"/>
        <w:rPr>
          <w:sz w:val="28"/>
          <w:szCs w:val="28"/>
        </w:rPr>
      </w:pPr>
      <w:r>
        <w:rPr>
          <w:sz w:val="28"/>
          <w:szCs w:val="28"/>
        </w:rPr>
        <w:t>10.1. Договор вступает в силу с даты подписания в форме электронных документов усиленными квалифицированными электронными подписями Акта приема-передачи уполномоченными лицами Сторон и действует в течение срока действия Лицензии.</w:t>
      </w:r>
    </w:p>
    <w:p>
      <w:pPr>
        <w:pStyle w:val="22"/>
        <w:shd w:fill="auto" w:val="clear"/>
        <w:tabs>
          <w:tab w:val="clear" w:pos="708"/>
          <w:tab w:val="left" w:pos="1422" w:leader="none"/>
        </w:tabs>
        <w:spacing w:lineRule="auto" w:line="240" w:before="0" w:after="0"/>
        <w:ind w:left="0" w:right="0" w:firstLine="709"/>
        <w:rPr>
          <w:sz w:val="28"/>
          <w:szCs w:val="28"/>
        </w:rPr>
      </w:pPr>
      <w:r>
        <w:rPr>
          <w:sz w:val="28"/>
          <w:szCs w:val="28"/>
        </w:rPr>
        <w:t>10.2. Срок действия Лицензии составляет 5 (пять) лет со дня подписания Сторонами Акта приема-передачи.</w:t>
      </w:r>
    </w:p>
    <w:p>
      <w:pPr>
        <w:pStyle w:val="22"/>
        <w:shd w:fill="auto" w:val="clear"/>
        <w:tabs>
          <w:tab w:val="clear" w:pos="708"/>
          <w:tab w:val="left" w:pos="1422" w:leader="none"/>
        </w:tabs>
        <w:spacing w:lineRule="auto" w:line="240" w:before="0" w:after="0"/>
        <w:ind w:left="0" w:right="0" w:hanging="0"/>
        <w:rPr>
          <w:sz w:val="28"/>
          <w:szCs w:val="28"/>
        </w:rPr>
      </w:pPr>
      <w:r>
        <w:rPr>
          <w:sz w:val="28"/>
          <w:szCs w:val="28"/>
        </w:rPr>
      </w:r>
    </w:p>
    <w:p>
      <w:pPr>
        <w:pStyle w:val="22"/>
        <w:shd w:fill="auto" w:val="clear"/>
        <w:tabs>
          <w:tab w:val="clear" w:pos="708"/>
          <w:tab w:val="left" w:pos="1422" w:leader="none"/>
        </w:tabs>
        <w:spacing w:lineRule="auto" w:line="240" w:before="0" w:after="0"/>
        <w:ind w:left="0" w:right="0" w:firstLine="709"/>
        <w:rPr>
          <w:b/>
          <w:sz w:val="28"/>
          <w:szCs w:val="28"/>
        </w:rPr>
      </w:pPr>
      <w:r>
        <w:rPr>
          <w:sz w:val="8"/>
          <w:szCs w:val="8"/>
        </w:rPr>
        <w:t xml:space="preserve">  </w:t>
      </w:r>
    </w:p>
    <w:p>
      <w:pPr>
        <w:pStyle w:val="22"/>
        <w:shd w:fill="auto" w:val="clear"/>
        <w:tabs>
          <w:tab w:val="clear" w:pos="708"/>
          <w:tab w:val="left" w:pos="1422" w:leader="none"/>
        </w:tabs>
        <w:spacing w:lineRule="auto" w:line="240" w:before="0" w:after="0"/>
        <w:ind w:left="0" w:right="0" w:hanging="0"/>
        <w:jc w:val="center"/>
        <w:rPr>
          <w:b/>
          <w:sz w:val="28"/>
          <w:szCs w:val="28"/>
        </w:rPr>
      </w:pPr>
      <w:r>
        <w:rPr>
          <w:b/>
          <w:sz w:val="28"/>
          <w:szCs w:val="28"/>
        </w:rPr>
        <w:t>11. Основания и порядок расторжения Договора</w:t>
      </w:r>
    </w:p>
    <w:p>
      <w:pPr>
        <w:pStyle w:val="22"/>
        <w:shd w:fill="auto" w:val="clear"/>
        <w:tabs>
          <w:tab w:val="clear" w:pos="708"/>
          <w:tab w:val="left" w:pos="1422" w:leader="none"/>
        </w:tabs>
        <w:spacing w:lineRule="auto" w:line="240" w:before="0" w:after="0"/>
        <w:ind w:left="0" w:right="0" w:hanging="0"/>
        <w:jc w:val="center"/>
        <w:rPr>
          <w:sz w:val="28"/>
          <w:szCs w:val="28"/>
        </w:rPr>
      </w:pPr>
      <w:r>
        <w:rPr>
          <w:b/>
          <w:sz w:val="28"/>
          <w:szCs w:val="28"/>
        </w:rPr>
      </w:r>
    </w:p>
    <w:p>
      <w:pPr>
        <w:pStyle w:val="22"/>
        <w:shd w:fill="auto" w:val="clear"/>
        <w:tabs>
          <w:tab w:val="clear" w:pos="708"/>
          <w:tab w:val="left" w:pos="1422" w:leader="none"/>
        </w:tabs>
        <w:spacing w:lineRule="auto" w:line="240" w:before="0" w:after="0"/>
        <w:ind w:left="0" w:right="0" w:firstLine="709"/>
        <w:rPr>
          <w:sz w:val="28"/>
          <w:szCs w:val="28"/>
        </w:rPr>
      </w:pPr>
      <w:r>
        <w:rPr>
          <w:sz w:val="28"/>
          <w:szCs w:val="28"/>
        </w:rPr>
        <w:t xml:space="preserve">11.1. Договор может быть расторгнут по соглашению Сторон </w:t>
        <w:br/>
        <w:t>по основаниям, предусмотренным законодательством Российской Федерации.</w:t>
      </w:r>
    </w:p>
    <w:p>
      <w:pPr>
        <w:pStyle w:val="22"/>
        <w:shd w:fill="auto" w:val="clear"/>
        <w:tabs>
          <w:tab w:val="clear" w:pos="708"/>
          <w:tab w:val="left" w:pos="1422" w:leader="none"/>
        </w:tabs>
        <w:spacing w:lineRule="auto" w:line="240" w:before="0" w:after="0"/>
        <w:ind w:left="0" w:right="0" w:firstLine="709"/>
        <w:rPr>
          <w:sz w:val="28"/>
          <w:szCs w:val="28"/>
        </w:rPr>
      </w:pPr>
      <w:r>
        <w:rPr>
          <w:sz w:val="28"/>
          <w:szCs w:val="28"/>
        </w:rPr>
        <w:t xml:space="preserve">11.2. </w:t>
      </w:r>
      <w:r>
        <w:rPr>
          <w:rFonts w:eastAsia="Arial Unicode MS"/>
          <w:sz w:val="28"/>
          <w:szCs w:val="28"/>
        </w:rPr>
        <w:t xml:space="preserve">Лицензиар оставляет за собой право в одностороннем порядке расторгнуть Договор (в том числе на основании пункта 4.4 Договора), </w:t>
        <w:br/>
        <w:t>а Лицензиат обязуется незамедлительно прекратить использование ТПО УД.</w:t>
      </w:r>
    </w:p>
    <w:p>
      <w:pPr>
        <w:pStyle w:val="22"/>
        <w:shd w:fill="auto" w:val="clear"/>
        <w:tabs>
          <w:tab w:val="clear" w:pos="708"/>
          <w:tab w:val="left" w:pos="1422" w:leader="none"/>
        </w:tabs>
        <w:spacing w:lineRule="auto" w:line="240" w:before="0" w:after="0"/>
        <w:ind w:left="0" w:right="0" w:firstLine="709"/>
        <w:rPr>
          <w:sz w:val="28"/>
          <w:szCs w:val="28"/>
        </w:rPr>
      </w:pPr>
      <w:r>
        <w:rPr>
          <w:sz w:val="28"/>
          <w:szCs w:val="28"/>
        </w:rPr>
        <w:t xml:space="preserve">11.3. Датой уведомления Лицензиата о расторжении Договора считается дата официального получения соответствующего уведомления в форме электронных документов уполномоченным должностным лицом Лицензиата. Действие Договора прекращается с даты получения такого уведомления. </w:t>
      </w:r>
    </w:p>
    <w:p>
      <w:pPr>
        <w:pStyle w:val="22"/>
        <w:shd w:fill="auto" w:val="clear"/>
        <w:tabs>
          <w:tab w:val="clear" w:pos="708"/>
          <w:tab w:val="left" w:pos="1422" w:leader="none"/>
        </w:tabs>
        <w:spacing w:lineRule="auto" w:line="240" w:before="0" w:after="0"/>
        <w:ind w:left="0" w:right="0" w:firstLine="709"/>
        <w:rPr>
          <w:sz w:val="28"/>
          <w:szCs w:val="28"/>
        </w:rPr>
      </w:pPr>
      <w:r>
        <w:rPr>
          <w:sz w:val="28"/>
          <w:szCs w:val="28"/>
        </w:rPr>
        <w:t>11.4. При досрочном расторжении Договора Лицензия, предоставленная Лицензиату по Договору, также прекращает свое действие.</w:t>
      </w:r>
    </w:p>
    <w:p>
      <w:pPr>
        <w:pStyle w:val="22"/>
        <w:shd w:fill="auto" w:val="clear"/>
        <w:tabs>
          <w:tab w:val="clear" w:pos="708"/>
          <w:tab w:val="left" w:pos="1422" w:leader="none"/>
        </w:tabs>
        <w:spacing w:lineRule="auto" w:line="240" w:before="0" w:after="0"/>
        <w:ind w:left="0" w:right="0" w:firstLine="709"/>
        <w:rPr>
          <w:b/>
          <w:sz w:val="28"/>
          <w:szCs w:val="28"/>
        </w:rPr>
      </w:pPr>
      <w:r>
        <w:rPr>
          <w:sz w:val="28"/>
          <w:szCs w:val="28"/>
        </w:rPr>
      </w:r>
      <w:bookmarkStart w:id="27" w:name="bookmark7"/>
      <w:bookmarkStart w:id="28" w:name="bookmark7"/>
    </w:p>
    <w:p>
      <w:pPr>
        <w:pStyle w:val="22"/>
        <w:shd w:fill="auto" w:val="clear"/>
        <w:spacing w:lineRule="auto" w:line="240" w:before="0" w:after="0"/>
        <w:ind w:left="0" w:right="0" w:hanging="0"/>
        <w:jc w:val="center"/>
        <w:rPr>
          <w:b/>
          <w:sz w:val="28"/>
          <w:szCs w:val="28"/>
        </w:rPr>
      </w:pPr>
      <w:r>
        <w:rPr>
          <w:b/>
          <w:sz w:val="28"/>
          <w:szCs w:val="28"/>
        </w:rPr>
        <w:t>12. Антикоррупционная оговорка</w:t>
      </w:r>
    </w:p>
    <w:p>
      <w:pPr>
        <w:pStyle w:val="22"/>
        <w:shd w:fill="auto" w:val="clear"/>
        <w:spacing w:lineRule="auto" w:line="240" w:before="0" w:after="0"/>
        <w:ind w:left="0" w:right="0" w:hanging="0"/>
        <w:jc w:val="center"/>
        <w:rPr>
          <w:sz w:val="28"/>
          <w:szCs w:val="28"/>
        </w:rPr>
      </w:pPr>
      <w:r>
        <w:rPr>
          <w:b/>
          <w:sz w:val="28"/>
          <w:szCs w:val="28"/>
        </w:rPr>
      </w:r>
    </w:p>
    <w:p>
      <w:pPr>
        <w:pStyle w:val="22"/>
        <w:shd w:fill="auto" w:val="clear"/>
        <w:tabs>
          <w:tab w:val="clear" w:pos="708"/>
          <w:tab w:val="left" w:pos="1422" w:leader="none"/>
        </w:tabs>
        <w:spacing w:lineRule="auto" w:line="240" w:before="0" w:after="0"/>
        <w:ind w:left="0" w:right="0" w:firstLine="709"/>
        <w:rPr>
          <w:sz w:val="28"/>
          <w:szCs w:val="28"/>
        </w:rPr>
      </w:pPr>
      <w:r>
        <w:rPr>
          <w:sz w:val="28"/>
          <w:szCs w:val="28"/>
        </w:rPr>
        <w:t xml:space="preserve">12.1. В рамках исполнения Договора Стороны подтверждают, что в своей деятельности придерживаются высоких этических стандартов, обязуются соблюдать требования применимого антикоррупционного законодательства </w:t>
        <w:br/>
        <w:t>и не будут предпринимать никаких действий, которые могут нарушить нормы применимого антикоррупционного законодательства или стать причиной такого нарушения другой Стороной, в том числе не требовать, не получать, не предлагать, не санкционировать, не обещать и не совершать незаконные платежи напрямую, через третьих лиц или в качестве посредника, включая (но не ограничиваясь) взятки в денежной или любой иной форме каким-либо физическим или юридическим лицам, включая (но не ограничиваясь) органам государственной власти и местного самоуправления, государственным служащим, частным компаниям и их представителям.</w:t>
      </w:r>
    </w:p>
    <w:p>
      <w:pPr>
        <w:pStyle w:val="22"/>
        <w:shd w:fill="auto" w:val="clear"/>
        <w:tabs>
          <w:tab w:val="clear" w:pos="708"/>
          <w:tab w:val="left" w:pos="1422" w:leader="none"/>
        </w:tabs>
        <w:spacing w:lineRule="auto" w:line="240" w:before="0" w:after="0"/>
        <w:ind w:left="0" w:right="0" w:firstLine="709"/>
        <w:rPr>
          <w:sz w:val="28"/>
          <w:szCs w:val="28"/>
        </w:rPr>
      </w:pPr>
      <w:r>
        <w:rPr>
          <w:sz w:val="28"/>
          <w:szCs w:val="28"/>
        </w:rPr>
        <w:t xml:space="preserve">12.2. Стороны обязуются не совершать действий (бездействий), создающих угрозу возникновения конфликта интересов, а также в разумные сроки сообщать другой Стороне о ставших известными ей обстоятельствах, способных вызвать конфликт интересов. </w:t>
      </w:r>
    </w:p>
    <w:p>
      <w:pPr>
        <w:pStyle w:val="22"/>
        <w:shd w:fill="auto" w:val="clear"/>
        <w:tabs>
          <w:tab w:val="clear" w:pos="708"/>
          <w:tab w:val="left" w:pos="1422" w:leader="none"/>
        </w:tabs>
        <w:spacing w:lineRule="auto" w:line="240" w:before="0" w:after="0"/>
        <w:ind w:left="0" w:right="0" w:firstLine="709"/>
        <w:rPr>
          <w:sz w:val="28"/>
          <w:szCs w:val="28"/>
        </w:rPr>
      </w:pPr>
      <w:r>
        <w:rPr>
          <w:sz w:val="28"/>
          <w:szCs w:val="28"/>
        </w:rPr>
        <w:t xml:space="preserve">12.3. Стороны подтверждают, что любые третьи лица, привлеченные для исполнения Договора, не осуществляют свои действия с целью оказать незаконное влияние на должностных лиц либо с целью коммерческого подкупа </w:t>
        <w:br/>
        <w:t>и будут допущены к выполнению договорных обязательств после проведения достаточных проверочных мероприятий привлекающей их Стороной.</w:t>
      </w:r>
    </w:p>
    <w:p>
      <w:pPr>
        <w:pStyle w:val="22"/>
        <w:shd w:fill="auto" w:val="clear"/>
        <w:tabs>
          <w:tab w:val="clear" w:pos="708"/>
          <w:tab w:val="left" w:pos="1422" w:leader="none"/>
        </w:tabs>
        <w:spacing w:lineRule="auto" w:line="240" w:before="0" w:after="0"/>
        <w:ind w:left="0" w:right="0" w:firstLine="709"/>
        <w:rPr/>
      </w:pPr>
      <w:r>
        <w:rPr>
          <w:sz w:val="28"/>
          <w:szCs w:val="28"/>
        </w:rPr>
        <w:t xml:space="preserve">12.4. В случае нарушения одной из Сторон условий, изложенных </w:t>
        <w:br/>
        <w:t>в пунктах 12.1-12.3 Договора, другая Сторона вправе в одностороннем порядке приостановить исполнение своих обязательств по Договору до устранения причин такого нарушения или отказаться от исполнения Договора, направив об этом письменное уведомление.</w:t>
      </w:r>
      <w:r>
        <w:rPr>
          <w:b/>
          <w:sz w:val="14"/>
          <w:szCs w:val="14"/>
        </w:rPr>
        <w:t xml:space="preserve"> </w:t>
      </w:r>
    </w:p>
    <w:p>
      <w:pPr>
        <w:pStyle w:val="22"/>
        <w:shd w:fill="auto" w:val="clear"/>
        <w:tabs>
          <w:tab w:val="clear" w:pos="708"/>
          <w:tab w:val="left" w:pos="1422" w:leader="none"/>
        </w:tabs>
        <w:spacing w:lineRule="auto" w:line="240" w:before="0" w:after="0"/>
        <w:ind w:left="0" w:right="0" w:firstLine="709"/>
        <w:rPr>
          <w:b/>
          <w:sz w:val="28"/>
          <w:szCs w:val="28"/>
        </w:rPr>
      </w:pPr>
      <w:r>
        <w:rPr/>
      </w:r>
    </w:p>
    <w:p>
      <w:pPr>
        <w:pStyle w:val="22"/>
        <w:shd w:fill="auto" w:val="clear"/>
        <w:spacing w:lineRule="auto" w:line="240" w:before="0" w:after="0"/>
        <w:ind w:left="0" w:right="0" w:hanging="0"/>
        <w:jc w:val="center"/>
        <w:rPr>
          <w:b/>
          <w:sz w:val="28"/>
          <w:szCs w:val="28"/>
        </w:rPr>
      </w:pPr>
      <w:bookmarkStart w:id="29" w:name="bookmark7"/>
      <w:r>
        <w:rPr>
          <w:b/>
          <w:sz w:val="28"/>
          <w:szCs w:val="28"/>
        </w:rPr>
        <w:t>13. Прочие условия</w:t>
      </w:r>
      <w:bookmarkEnd w:id="29"/>
    </w:p>
    <w:p>
      <w:pPr>
        <w:pStyle w:val="22"/>
        <w:shd w:fill="auto" w:val="clear"/>
        <w:spacing w:lineRule="auto" w:line="240" w:before="0" w:after="0"/>
        <w:ind w:left="0" w:right="0" w:hanging="0"/>
        <w:jc w:val="center"/>
        <w:rPr>
          <w:sz w:val="28"/>
          <w:szCs w:val="28"/>
        </w:rPr>
      </w:pPr>
      <w:r>
        <w:rPr>
          <w:b/>
          <w:sz w:val="28"/>
          <w:szCs w:val="28"/>
        </w:rPr>
      </w:r>
    </w:p>
    <w:p>
      <w:pPr>
        <w:pStyle w:val="22"/>
        <w:shd w:fill="auto" w:val="clear"/>
        <w:tabs>
          <w:tab w:val="clear" w:pos="708"/>
          <w:tab w:val="left" w:pos="1422" w:leader="none"/>
        </w:tabs>
        <w:spacing w:lineRule="auto" w:line="240" w:before="0" w:after="0"/>
        <w:ind w:left="0" w:right="0" w:firstLine="709"/>
        <w:rPr>
          <w:sz w:val="28"/>
          <w:szCs w:val="28"/>
        </w:rPr>
      </w:pPr>
      <w:r>
        <w:rPr>
          <w:sz w:val="28"/>
          <w:szCs w:val="28"/>
        </w:rPr>
        <w:t>13.1. Положения, не предусмотренные Договором, регулируются Сторонами в соответствии с законодательством Российской Федерации.</w:t>
      </w:r>
    </w:p>
    <w:p>
      <w:pPr>
        <w:pStyle w:val="22"/>
        <w:shd w:fill="auto" w:val="clear"/>
        <w:tabs>
          <w:tab w:val="clear" w:pos="708"/>
          <w:tab w:val="left" w:pos="1422" w:leader="none"/>
        </w:tabs>
        <w:spacing w:lineRule="auto" w:line="240" w:before="0" w:after="0"/>
        <w:ind w:left="0" w:right="0" w:firstLine="709"/>
        <w:rPr>
          <w:sz w:val="28"/>
          <w:szCs w:val="28"/>
        </w:rPr>
      </w:pPr>
      <w:r>
        <w:rPr>
          <w:sz w:val="28"/>
          <w:szCs w:val="28"/>
        </w:rPr>
        <w:t>13.2. Переход исключительных прав на ТПО УД к новому правообладателю не является основанием для изменения или расторжения Договора, заключенного предшествующим правообладателем.</w:t>
      </w:r>
    </w:p>
    <w:p>
      <w:pPr>
        <w:pStyle w:val="22"/>
        <w:tabs>
          <w:tab w:val="clear" w:pos="708"/>
          <w:tab w:val="left" w:pos="1422" w:leader="none"/>
        </w:tabs>
        <w:spacing w:lineRule="auto" w:line="240" w:before="0" w:after="0"/>
        <w:ind w:left="0" w:right="0" w:firstLine="709"/>
        <w:rPr>
          <w:sz w:val="28"/>
          <w:szCs w:val="28"/>
        </w:rPr>
      </w:pPr>
      <w:r>
        <w:rPr>
          <w:sz w:val="28"/>
          <w:szCs w:val="28"/>
        </w:rPr>
        <w:t xml:space="preserve">13.3.  Дополнения и изменения к Договору допускаются только </w:t>
        <w:br/>
        <w:t>по обоюдному согласию Сторон и оформляются в виде дополнительных соглашений в форме электронных документов, подписываются усиленными квалифицированными электронными подписями уполномоченными лицами Сторон и прилагаются к Договору. Дополнительные соглашения подлежат исполнению, толкованию в том же порядке, что и другие положения Договора.</w:t>
      </w:r>
    </w:p>
    <w:p>
      <w:pPr>
        <w:pStyle w:val="22"/>
        <w:tabs>
          <w:tab w:val="clear" w:pos="708"/>
          <w:tab w:val="left" w:pos="1422" w:leader="none"/>
        </w:tabs>
        <w:spacing w:lineRule="auto" w:line="240" w:before="0" w:after="0"/>
        <w:ind w:left="0" w:right="0" w:firstLine="709"/>
        <w:rPr>
          <w:sz w:val="28"/>
          <w:szCs w:val="28"/>
        </w:rPr>
      </w:pPr>
      <w:r>
        <w:rPr>
          <w:sz w:val="28"/>
          <w:szCs w:val="28"/>
        </w:rPr>
        <w:t>13.4. Неотъемлемой частью Договора является форма акта приема-передачи права на использование типового программного обеспечения управления данными (приложение к Договору).</w:t>
      </w:r>
    </w:p>
    <w:p>
      <w:pPr>
        <w:pStyle w:val="22"/>
        <w:tabs>
          <w:tab w:val="clear" w:pos="708"/>
          <w:tab w:val="left" w:pos="1422" w:leader="none"/>
        </w:tabs>
        <w:spacing w:lineRule="auto" w:line="240" w:before="0" w:after="0"/>
        <w:ind w:left="0" w:right="0" w:firstLine="709"/>
        <w:rPr>
          <w:sz w:val="28"/>
          <w:szCs w:val="28"/>
        </w:rPr>
      </w:pPr>
      <w:r>
        <w:rPr>
          <w:sz w:val="28"/>
          <w:szCs w:val="28"/>
        </w:rPr>
        <w:t>13.5. Договор заключается в электронной форме с использованием усиленных квалифицированных электронных подписей уполномоченных лиц Сторон.</w:t>
      </w:r>
    </w:p>
    <w:p>
      <w:pPr>
        <w:pStyle w:val="22"/>
        <w:tabs>
          <w:tab w:val="clear" w:pos="708"/>
          <w:tab w:val="left" w:pos="1422" w:leader="none"/>
        </w:tabs>
        <w:spacing w:lineRule="auto" w:line="240" w:before="0" w:after="0"/>
        <w:ind w:left="0" w:right="0" w:firstLine="709"/>
        <w:rPr>
          <w:b/>
          <w:sz w:val="28"/>
          <w:szCs w:val="28"/>
          <w:lang w:bidi="ar-SA"/>
        </w:rPr>
      </w:pPr>
      <w:r>
        <w:rPr>
          <w:sz w:val="28"/>
          <w:szCs w:val="28"/>
        </w:rPr>
      </w:r>
    </w:p>
    <w:p>
      <w:pPr>
        <w:pStyle w:val="Normal"/>
        <w:spacing w:lineRule="auto" w:line="240" w:before="0" w:after="0"/>
        <w:jc w:val="center"/>
        <w:rPr>
          <w:rFonts w:ascii="Times New Roman" w:hAnsi="Times New Roman" w:eastAsia="Times New Roman" w:cs="Times New Roman"/>
          <w:b/>
          <w:sz w:val="28"/>
          <w:szCs w:val="28"/>
          <w:lang w:bidi="ar-SA"/>
        </w:rPr>
      </w:pPr>
      <w:r>
        <w:rPr>
          <w:rFonts w:eastAsia="Times New Roman" w:cs="Times New Roman" w:ascii="Times New Roman" w:hAnsi="Times New Roman"/>
          <w:b/>
          <w:sz w:val="28"/>
          <w:szCs w:val="28"/>
          <w:lang w:bidi="ar-SA"/>
        </w:rPr>
        <w:t>14. Реквизиты и подписи Сторон</w:t>
      </w:r>
    </w:p>
    <w:p>
      <w:pPr>
        <w:pStyle w:val="Normal"/>
        <w:spacing w:lineRule="auto" w:line="240" w:before="0" w:after="0"/>
        <w:jc w:val="center"/>
        <w:rPr>
          <w:b/>
          <w:sz w:val="28"/>
          <w:szCs w:val="28"/>
          <w:lang w:bidi="ar-SA"/>
        </w:rPr>
      </w:pPr>
      <w:r>
        <w:rPr>
          <w:b/>
          <w:sz w:val="28"/>
          <w:szCs w:val="28"/>
          <w:lang w:bidi="ar-SA"/>
        </w:rPr>
      </w:r>
    </w:p>
    <w:tbl>
      <w:tblPr>
        <w:tblW w:w="9528" w:type="dxa"/>
        <w:jc w:val="left"/>
        <w:tblInd w:w="108" w:type="dxa"/>
        <w:tblLayout w:type="fixed"/>
        <w:tblCellMar>
          <w:top w:w="0" w:type="dxa"/>
          <w:left w:w="108" w:type="dxa"/>
          <w:bottom w:w="0" w:type="dxa"/>
          <w:right w:w="108" w:type="dxa"/>
        </w:tblCellMar>
      </w:tblPr>
      <w:tblGrid>
        <w:gridCol w:w="4587"/>
        <w:gridCol w:w="285"/>
        <w:gridCol w:w="4656"/>
      </w:tblGrid>
      <w:tr>
        <w:trPr>
          <w:trHeight w:val="2573" w:hRule="atLeast"/>
        </w:trPr>
        <w:tc>
          <w:tcPr>
            <w:tcW w:w="4587" w:type="dxa"/>
            <w:tcBorders/>
          </w:tcPr>
          <w:p>
            <w:pPr>
              <w:pStyle w:val="Normal"/>
              <w:spacing w:before="0" w:after="0"/>
              <w:contextualSpacing/>
              <w:rPr>
                <w:rFonts w:ascii="Times New Roman" w:hAnsi="Times New Roman" w:eastAsia="Times New Roman" w:cs="Times New Roman"/>
                <w:b/>
                <w:sz w:val="14"/>
                <w:szCs w:val="14"/>
                <w:lang w:bidi="ar-SA"/>
              </w:rPr>
            </w:pPr>
            <w:r>
              <w:rPr>
                <w:rFonts w:eastAsia="Times New Roman" w:cs="Times New Roman" w:ascii="Times New Roman" w:hAnsi="Times New Roman"/>
                <w:b/>
                <w:sz w:val="28"/>
                <w:szCs w:val="28"/>
                <w:lang w:bidi="ar-SA"/>
              </w:rPr>
              <w:t>Лицензиар</w:t>
            </w:r>
          </w:p>
          <w:p>
            <w:pPr>
              <w:pStyle w:val="Normal"/>
              <w:spacing w:before="0" w:after="0"/>
              <w:contextualSpacing/>
              <w:jc w:val="center"/>
              <w:rPr>
                <w:rFonts w:ascii="Times New Roman" w:hAnsi="Times New Roman" w:cs="Times New Roman"/>
                <w:b/>
                <w:shd w:fill="FFFFFF" w:val="clear"/>
              </w:rPr>
            </w:pPr>
            <w:r>
              <w:rPr>
                <w:rFonts w:eastAsia="Times New Roman" w:cs="Times New Roman" w:ascii="Times New Roman" w:hAnsi="Times New Roman"/>
                <w:b/>
                <w:sz w:val="14"/>
                <w:szCs w:val="14"/>
                <w:lang w:bidi="ar-SA"/>
              </w:rPr>
              <w:t xml:space="preserve"> </w:t>
            </w:r>
          </w:p>
          <w:p>
            <w:pPr>
              <w:pStyle w:val="Normal"/>
              <w:rPr>
                <w:rFonts w:ascii="Times New Roman" w:hAnsi="Times New Roman" w:cs="Times New Roman"/>
                <w:shd w:fill="FFFFFF" w:val="clear"/>
              </w:rPr>
            </w:pPr>
            <w:r>
              <w:rPr>
                <w:rFonts w:cs="Times New Roman" w:ascii="Times New Roman" w:hAnsi="Times New Roman"/>
                <w:b/>
                <w:shd w:fill="FFFFFF" w:val="clear"/>
              </w:rPr>
              <w:t>Министерство цифрового развития,</w:t>
              <w:br/>
              <w:t xml:space="preserve">связи и массовых коммуникаций </w:t>
              <w:br/>
              <w:t>Российской Федерации</w:t>
            </w:r>
          </w:p>
          <w:p>
            <w:pPr>
              <w:pStyle w:val="Normal"/>
              <w:rPr>
                <w:rFonts w:ascii="Times New Roman" w:hAnsi="Times New Roman" w:cs="Times New Roman"/>
                <w:shd w:fill="FFFFFF" w:val="clear"/>
              </w:rPr>
            </w:pPr>
            <w:r>
              <w:rPr>
                <w:rFonts w:cs="Times New Roman" w:ascii="Times New Roman" w:hAnsi="Times New Roman"/>
                <w:shd w:fill="FFFFFF" w:val="clear"/>
              </w:rPr>
            </w:r>
          </w:p>
          <w:p>
            <w:pPr>
              <w:pStyle w:val="Normal"/>
              <w:rPr>
                <w:rFonts w:ascii="Times New Roman" w:hAnsi="Times New Roman" w:cs="Times New Roman"/>
                <w:shd w:fill="FFFFFF" w:val="clear"/>
              </w:rPr>
            </w:pPr>
            <w:r>
              <w:rPr>
                <w:rFonts w:cs="Times New Roman" w:ascii="Times New Roman" w:hAnsi="Times New Roman"/>
                <w:b/>
                <w:shd w:fill="FFFFFF" w:val="clear"/>
              </w:rPr>
              <w:t>Адрес</w:t>
            </w:r>
            <w:r>
              <w:rPr>
                <w:rFonts w:cs="Times New Roman" w:ascii="Times New Roman" w:hAnsi="Times New Roman"/>
                <w:shd w:fill="FFFFFF" w:val="clear"/>
              </w:rPr>
              <w:t>:</w:t>
            </w:r>
            <w:r>
              <w:rPr>
                <w:rFonts w:cs="Times New Roman" w:ascii="Times New Roman" w:hAnsi="Times New Roman"/>
                <w:i/>
                <w:shd w:fill="FFFFFF" w:val="clear"/>
              </w:rPr>
              <w:t xml:space="preserve"> </w:t>
            </w:r>
            <w:r>
              <w:rPr>
                <w:rFonts w:cs="Times New Roman" w:ascii="Times New Roman" w:hAnsi="Times New Roman"/>
                <w:shd w:fill="FFFFFF" w:val="clear"/>
              </w:rPr>
              <w:t>123112, г. Москва, Пресненская наб., д.10, стр.2</w:t>
            </w:r>
          </w:p>
          <w:p>
            <w:pPr>
              <w:pStyle w:val="Normal"/>
              <w:rPr>
                <w:rFonts w:ascii="Times New Roman" w:hAnsi="Times New Roman" w:cs="Times New Roman"/>
                <w:shd w:fill="FFFFFF" w:val="clear"/>
                <w:lang w:val="en-US"/>
              </w:rPr>
            </w:pPr>
            <w:r>
              <w:rPr>
                <w:rFonts w:cs="Times New Roman" w:ascii="Times New Roman" w:hAnsi="Times New Roman"/>
                <w:shd w:fill="FFFFFF" w:val="clear"/>
                <w:lang w:val="en-US"/>
              </w:rPr>
              <w:t>E-mail: office@digital.gov.ru</w:t>
            </w:r>
          </w:p>
          <w:p>
            <w:pPr>
              <w:pStyle w:val="Normal"/>
              <w:rPr>
                <w:rFonts w:ascii="Times New Roman" w:hAnsi="Times New Roman" w:cs="Times New Roman"/>
                <w:shd w:fill="FFFFFF" w:val="clear"/>
              </w:rPr>
            </w:pPr>
            <w:r>
              <w:rPr>
                <w:rFonts w:cs="Times New Roman" w:ascii="Times New Roman" w:hAnsi="Times New Roman"/>
                <w:shd w:fill="FFFFFF" w:val="clear"/>
              </w:rPr>
              <w:t>Тел.: +7 (495) 771-80-00</w:t>
            </w:r>
          </w:p>
        </w:tc>
        <w:tc>
          <w:tcPr>
            <w:tcW w:w="285" w:type="dxa"/>
            <w:tcBorders/>
          </w:tcPr>
          <w:p>
            <w:pPr>
              <w:pStyle w:val="Normal"/>
              <w:snapToGrid w:val="false"/>
              <w:rPr>
                <w:rFonts w:ascii="Times New Roman" w:hAnsi="Times New Roman" w:cs="Times New Roman"/>
                <w:i/>
                <w:i/>
                <w:shd w:fill="FFFFFF" w:val="clear"/>
              </w:rPr>
            </w:pPr>
            <w:r>
              <w:rPr>
                <w:rFonts w:cs="Times New Roman" w:ascii="Times New Roman" w:hAnsi="Times New Roman"/>
                <w:i/>
                <w:shd w:fill="FFFFFF" w:val="clear"/>
              </w:rPr>
            </w:r>
          </w:p>
        </w:tc>
        <w:tc>
          <w:tcPr>
            <w:tcW w:w="4656" w:type="dxa"/>
            <w:tcBorders/>
          </w:tcPr>
          <w:p>
            <w:pPr>
              <w:pStyle w:val="Normal"/>
              <w:rPr>
                <w:rFonts w:ascii="Times New Roman" w:hAnsi="Times New Roman" w:eastAsia="Times New Roman" w:cs="Times New Roman"/>
                <w:b/>
                <w:sz w:val="14"/>
                <w:szCs w:val="14"/>
                <w:shd w:fill="FFFFFF" w:val="clear"/>
                <w:lang w:bidi="ar-SA"/>
              </w:rPr>
            </w:pPr>
            <w:r>
              <w:rPr>
                <w:rFonts w:eastAsia="Times New Roman" w:cs="Times New Roman" w:ascii="Times New Roman" w:hAnsi="Times New Roman"/>
                <w:b/>
                <w:sz w:val="28"/>
                <w:szCs w:val="28"/>
                <w:shd w:fill="FFFFFF" w:val="clear"/>
                <w:lang w:bidi="ar-SA"/>
              </w:rPr>
              <w:t>Лицензиат</w:t>
            </w:r>
          </w:p>
          <w:p>
            <w:pPr>
              <w:pStyle w:val="Normal"/>
              <w:jc w:val="center"/>
              <w:rPr>
                <w:rFonts w:ascii="Times New Roman" w:hAnsi="Times New Roman" w:cs="Times New Roman"/>
                <w:b/>
                <w:shd w:fill="FFFFFF" w:val="clear"/>
              </w:rPr>
            </w:pPr>
            <w:r>
              <w:rPr>
                <w:rFonts w:eastAsia="Times New Roman" w:cs="Times New Roman" w:ascii="Times New Roman" w:hAnsi="Times New Roman"/>
                <w:b/>
                <w:sz w:val="14"/>
                <w:szCs w:val="14"/>
                <w:shd w:fill="FFFFFF" w:val="clear"/>
                <w:lang w:bidi="ar-SA"/>
              </w:rPr>
              <w:t xml:space="preserve"> </w:t>
            </w:r>
          </w:p>
          <w:p>
            <w:pPr>
              <w:pStyle w:val="Normal"/>
              <w:rPr>
                <w:rFonts w:ascii="Times New Roman" w:hAnsi="Times New Roman" w:cs="Times New Roman"/>
                <w:b/>
                <w:bCs/>
                <w:shd w:fill="FFFFFF" w:val="clear"/>
              </w:rPr>
            </w:pPr>
            <w:r>
              <w:rPr>
                <w:rFonts w:cs="Times New Roman" w:ascii="Times New Roman" w:hAnsi="Times New Roman"/>
                <w:b/>
                <w:shd w:fill="FFFFFF" w:val="clear"/>
              </w:rPr>
              <w:t>___________________________________________________________________________________________________</w:t>
            </w:r>
          </w:p>
          <w:p>
            <w:pPr>
              <w:pStyle w:val="Normal"/>
              <w:rPr>
                <w:rFonts w:ascii="Times New Roman" w:hAnsi="Times New Roman" w:cs="Times New Roman"/>
                <w:b/>
                <w:bCs/>
                <w:shd w:fill="FFFFFF" w:val="clear"/>
              </w:rPr>
            </w:pPr>
            <w:r>
              <w:rPr>
                <w:rFonts w:cs="Times New Roman" w:ascii="Times New Roman" w:hAnsi="Times New Roman"/>
                <w:b/>
                <w:bCs/>
                <w:shd w:fill="FFFFFF" w:val="clear"/>
              </w:rPr>
            </w:r>
          </w:p>
          <w:p>
            <w:pPr>
              <w:pStyle w:val="Normal"/>
              <w:rPr/>
            </w:pPr>
            <w:r>
              <w:rPr>
                <w:rFonts w:cs="Times New Roman" w:ascii="Times New Roman" w:hAnsi="Times New Roman"/>
                <w:b/>
                <w:bCs/>
                <w:shd w:fill="FFFFFF" w:val="clear"/>
              </w:rPr>
              <w:t>Адрес</w:t>
            </w:r>
            <w:r>
              <w:rPr>
                <w:rFonts w:cs="Times New Roman" w:ascii="Times New Roman" w:hAnsi="Times New Roman"/>
                <w:shd w:fill="FFFFFF" w:val="clear"/>
              </w:rPr>
              <w:t>:</w:t>
            </w:r>
            <w:r>
              <w:rPr>
                <w:rFonts w:cs="Times New Roman" w:ascii="Times New Roman" w:hAnsi="Times New Roman"/>
                <w:i/>
                <w:shd w:fill="FFFFFF" w:val="clear"/>
              </w:rPr>
              <w:t>__________________________</w:t>
            </w:r>
          </w:p>
          <w:p>
            <w:pPr>
              <w:pStyle w:val="Normal"/>
              <w:rPr>
                <w:rFonts w:ascii="Times New Roman" w:hAnsi="Times New Roman" w:cs="Times New Roman"/>
                <w:shd w:fill="FFFFFF" w:val="clear"/>
              </w:rPr>
            </w:pPr>
            <w:r>
              <w:rPr>
                <w:rFonts w:cs="Times New Roman" w:ascii="Times New Roman" w:hAnsi="Times New Roman"/>
                <w:i/>
                <w:shd w:fill="FFFFFF" w:val="clear"/>
              </w:rPr>
              <w:t>_____________________________</w:t>
            </w:r>
          </w:p>
          <w:p>
            <w:pPr>
              <w:pStyle w:val="Normal"/>
              <w:rPr/>
            </w:pPr>
            <w:r>
              <w:rPr>
                <w:rFonts w:cs="Times New Roman" w:ascii="Times New Roman" w:hAnsi="Times New Roman"/>
                <w:shd w:fill="FFFFFF" w:val="clear"/>
                <w:lang w:val="en-US"/>
              </w:rPr>
              <w:t>E</w:t>
            </w:r>
            <w:r>
              <w:rPr>
                <w:rFonts w:cs="Times New Roman" w:ascii="Times New Roman" w:hAnsi="Times New Roman"/>
                <w:shd w:fill="FFFFFF" w:val="clear"/>
              </w:rPr>
              <w:t>-</w:t>
            </w:r>
            <w:r>
              <w:rPr>
                <w:rFonts w:cs="Times New Roman" w:ascii="Times New Roman" w:hAnsi="Times New Roman"/>
                <w:shd w:fill="FFFFFF" w:val="clear"/>
                <w:lang w:val="en-US"/>
              </w:rPr>
              <w:t>mail</w:t>
            </w:r>
            <w:r>
              <w:rPr>
                <w:rFonts w:cs="Times New Roman" w:ascii="Times New Roman" w:hAnsi="Times New Roman"/>
                <w:shd w:fill="FFFFFF" w:val="clear"/>
              </w:rPr>
              <w:t xml:space="preserve">: </w:t>
            </w:r>
          </w:p>
          <w:p>
            <w:pPr>
              <w:pStyle w:val="Normal"/>
              <w:rPr>
                <w:rFonts w:ascii="Times New Roman" w:hAnsi="Times New Roman" w:cs="Times New Roman"/>
                <w:shd w:fill="FFFFFF" w:val="clear"/>
              </w:rPr>
            </w:pPr>
            <w:r>
              <w:rPr>
                <w:rFonts w:cs="Times New Roman" w:ascii="Times New Roman" w:hAnsi="Times New Roman"/>
                <w:shd w:fill="FFFFFF" w:val="clear"/>
              </w:rPr>
              <w:t>Тел.:</w:t>
            </w:r>
          </w:p>
        </w:tc>
      </w:tr>
    </w:tbl>
    <w:p>
      <w:pPr>
        <w:pStyle w:val="Normal"/>
        <w:jc w:val="center"/>
        <w:rPr>
          <w:rFonts w:ascii="Times New Roman" w:hAnsi="Times New Roman" w:eastAsia="Times New Roman" w:cs="Times New Roman"/>
          <w:b/>
          <w:bCs/>
        </w:rPr>
      </w:pPr>
      <w:r>
        <w:rPr>
          <w:rFonts w:eastAsia="Times New Roman" w:cs="Times New Roman" w:ascii="Times New Roman" w:hAnsi="Times New Roman"/>
          <w:b/>
        </w:rPr>
        <w:t xml:space="preserve"> </w:t>
      </w:r>
    </w:p>
    <w:tbl>
      <w:tblPr>
        <w:tblW w:w="5000" w:type="pct"/>
        <w:jc w:val="left"/>
        <w:tblInd w:w="108" w:type="dxa"/>
        <w:tblLayout w:type="fixed"/>
        <w:tblCellMar>
          <w:top w:w="0" w:type="dxa"/>
          <w:left w:w="108" w:type="dxa"/>
          <w:bottom w:w="0" w:type="dxa"/>
          <w:right w:w="108" w:type="dxa"/>
        </w:tblCellMar>
      </w:tblPr>
      <w:tblGrid>
        <w:gridCol w:w="4632"/>
        <w:gridCol w:w="389"/>
        <w:gridCol w:w="4617"/>
      </w:tblGrid>
      <w:tr>
        <w:trPr>
          <w:trHeight w:val="353" w:hRule="atLeast"/>
        </w:trPr>
        <w:tc>
          <w:tcPr>
            <w:tcW w:w="4632" w:type="dxa"/>
            <w:tcBorders/>
          </w:tcPr>
          <w:p>
            <w:pPr>
              <w:pStyle w:val="Normal"/>
              <w:keepNext w:val="true"/>
              <w:snapToGrid w:val="false"/>
              <w:jc w:val="both"/>
              <w:rPr>
                <w:rFonts w:ascii="Times New Roman" w:hAnsi="Times New Roman" w:eastAsia="Times New Roman" w:cs="Times New Roman"/>
                <w:i/>
                <w:i/>
              </w:rPr>
            </w:pPr>
            <w:r>
              <w:rPr>
                <w:rFonts w:eastAsia="Times New Roman" w:cs="Times New Roman" w:ascii="Times New Roman" w:hAnsi="Times New Roman"/>
                <w:b/>
                <w:bCs/>
              </w:rPr>
              <w:t>от Лицензиара:</w:t>
            </w:r>
          </w:p>
          <w:p>
            <w:pPr>
              <w:pStyle w:val="Normal"/>
              <w:keepNext w:val="true"/>
              <w:jc w:val="both"/>
              <w:rPr>
                <w:rFonts w:ascii="Times New Roman" w:hAnsi="Times New Roman" w:eastAsia="Times New Roman" w:cs="Times New Roman"/>
              </w:rPr>
            </w:pPr>
            <w:r>
              <w:rPr>
                <w:rFonts w:eastAsia="Times New Roman" w:cs="Times New Roman" w:ascii="Times New Roman" w:hAnsi="Times New Roman"/>
                <w:i/>
              </w:rPr>
              <w:t>Должность</w:t>
            </w:r>
          </w:p>
          <w:p>
            <w:pPr>
              <w:pStyle w:val="Normal"/>
              <w:keepNext w:val="true"/>
              <w:jc w:val="both"/>
              <w:rPr>
                <w:rFonts w:ascii="Times New Roman" w:hAnsi="Times New Roman" w:eastAsia="Times New Roman" w:cs="Times New Roman"/>
              </w:rPr>
            </w:pPr>
            <w:r>
              <w:rPr>
                <w:rFonts w:eastAsia="Times New Roman" w:cs="Times New Roman" w:ascii="Times New Roman" w:hAnsi="Times New Roman"/>
              </w:rPr>
            </w:r>
          </w:p>
          <w:p>
            <w:pPr>
              <w:pStyle w:val="Normal"/>
              <w:keepNext w:val="true"/>
              <w:jc w:val="both"/>
              <w:rPr>
                <w:rFonts w:ascii="Times New Roman" w:hAnsi="Times New Roman" w:eastAsia="Times New Roman" w:cs="Times New Roman"/>
              </w:rPr>
            </w:pPr>
            <w:r>
              <w:rPr>
                <w:rFonts w:eastAsia="Times New Roman" w:cs="Times New Roman" w:ascii="Times New Roman" w:hAnsi="Times New Roman"/>
              </w:rPr>
            </w:r>
          </w:p>
          <w:p>
            <w:pPr>
              <w:pStyle w:val="Normal"/>
              <w:keepNext w:val="true"/>
              <w:jc w:val="both"/>
              <w:rPr>
                <w:rFonts w:ascii="Times New Roman" w:hAnsi="Times New Roman" w:eastAsia="Times New Roman" w:cs="Times New Roman"/>
              </w:rPr>
            </w:pPr>
            <w:r>
              <w:rPr>
                <w:rFonts w:eastAsia="Times New Roman" w:cs="Times New Roman" w:ascii="Times New Roman" w:hAnsi="Times New Roman"/>
              </w:rPr>
            </w:r>
          </w:p>
          <w:p>
            <w:pPr>
              <w:pStyle w:val="Normal"/>
              <w:keepNext w:val="true"/>
              <w:jc w:val="both"/>
              <w:rPr>
                <w:rFonts w:ascii="Times New Roman" w:hAnsi="Times New Roman" w:cs="Times New Roman"/>
              </w:rPr>
            </w:pPr>
            <w:r>
              <w:rPr>
                <w:rFonts w:eastAsia="Times New Roman" w:cs="Times New Roman" w:ascii="Times New Roman" w:hAnsi="Times New Roman"/>
              </w:rPr>
              <w:t xml:space="preserve">_________________ /____________/ </w:t>
            </w:r>
          </w:p>
          <w:p>
            <w:pPr>
              <w:pStyle w:val="Normal"/>
              <w:keepNext w:val="true"/>
              <w:jc w:val="both"/>
              <w:rPr>
                <w:rFonts w:ascii="Times New Roman" w:hAnsi="Times New Roman" w:cs="Times New Roman"/>
              </w:rPr>
            </w:pPr>
            <w:r>
              <w:rPr>
                <w:rFonts w:cs="Times New Roman" w:ascii="Times New Roman" w:hAnsi="Times New Roman"/>
              </w:rPr>
            </w:r>
          </w:p>
        </w:tc>
        <w:tc>
          <w:tcPr>
            <w:tcW w:w="389" w:type="dxa"/>
            <w:tcBorders/>
          </w:tcPr>
          <w:p>
            <w:pPr>
              <w:pStyle w:val="Normal"/>
              <w:keepNext w:val="true"/>
              <w:snapToGrid w:val="false"/>
              <w:jc w:val="both"/>
              <w:rPr>
                <w:rFonts w:ascii="Times New Roman" w:hAnsi="Times New Roman" w:eastAsia="Times New Roman" w:cs="Times New Roman"/>
                <w:b/>
              </w:rPr>
            </w:pPr>
            <w:r>
              <w:rPr>
                <w:rFonts w:eastAsia="Times New Roman" w:cs="Times New Roman" w:ascii="Times New Roman" w:hAnsi="Times New Roman"/>
                <w:b/>
              </w:rPr>
            </w:r>
          </w:p>
        </w:tc>
        <w:tc>
          <w:tcPr>
            <w:tcW w:w="4617" w:type="dxa"/>
            <w:tcBorders/>
          </w:tcPr>
          <w:p>
            <w:pPr>
              <w:pStyle w:val="Normal"/>
              <w:keepNext w:val="true"/>
              <w:snapToGrid w:val="false"/>
              <w:jc w:val="both"/>
              <w:rPr>
                <w:rFonts w:ascii="Times New Roman" w:hAnsi="Times New Roman" w:eastAsia="Times New Roman" w:cs="Times New Roman"/>
                <w:i/>
                <w:i/>
              </w:rPr>
            </w:pPr>
            <w:r>
              <w:rPr>
                <w:rFonts w:eastAsia="Times New Roman" w:cs="Times New Roman" w:ascii="Times New Roman" w:hAnsi="Times New Roman"/>
                <w:b/>
              </w:rPr>
              <w:t>от Лицензиата:</w:t>
            </w:r>
          </w:p>
          <w:p>
            <w:pPr>
              <w:pStyle w:val="Normal"/>
              <w:keepNext w:val="true"/>
              <w:jc w:val="both"/>
              <w:rPr>
                <w:rFonts w:ascii="Times New Roman" w:hAnsi="Times New Roman" w:eastAsia="Times New Roman" w:cs="Times New Roman"/>
              </w:rPr>
            </w:pPr>
            <w:r>
              <w:rPr>
                <w:rFonts w:eastAsia="Times New Roman" w:cs="Times New Roman" w:ascii="Times New Roman" w:hAnsi="Times New Roman"/>
                <w:i/>
              </w:rPr>
              <w:t>Должность</w:t>
            </w:r>
          </w:p>
          <w:p>
            <w:pPr>
              <w:pStyle w:val="Normal"/>
              <w:keepNext w:val="true"/>
              <w:jc w:val="both"/>
              <w:rPr>
                <w:rFonts w:ascii="Times New Roman" w:hAnsi="Times New Roman" w:eastAsia="Times New Roman" w:cs="Times New Roman"/>
              </w:rPr>
            </w:pPr>
            <w:r>
              <w:rPr>
                <w:rFonts w:eastAsia="Times New Roman" w:cs="Times New Roman" w:ascii="Times New Roman" w:hAnsi="Times New Roman"/>
              </w:rPr>
            </w:r>
          </w:p>
          <w:p>
            <w:pPr>
              <w:pStyle w:val="Normal"/>
              <w:keepNext w:val="true"/>
              <w:jc w:val="both"/>
              <w:rPr>
                <w:rFonts w:ascii="Times New Roman" w:hAnsi="Times New Roman" w:eastAsia="Times New Roman" w:cs="Times New Roman"/>
              </w:rPr>
            </w:pPr>
            <w:r>
              <w:rPr>
                <w:rFonts w:eastAsia="Times New Roman" w:cs="Times New Roman" w:ascii="Times New Roman" w:hAnsi="Times New Roman"/>
              </w:rPr>
            </w:r>
          </w:p>
          <w:p>
            <w:pPr>
              <w:pStyle w:val="Normal"/>
              <w:keepNext w:val="true"/>
              <w:jc w:val="both"/>
              <w:rPr>
                <w:rFonts w:ascii="Times New Roman" w:hAnsi="Times New Roman" w:eastAsia="Times New Roman" w:cs="Times New Roman"/>
              </w:rPr>
            </w:pPr>
            <w:r>
              <w:rPr>
                <w:rFonts w:eastAsia="Times New Roman" w:cs="Times New Roman" w:ascii="Times New Roman" w:hAnsi="Times New Roman"/>
              </w:rPr>
            </w:r>
          </w:p>
          <w:p>
            <w:pPr>
              <w:pStyle w:val="Normal"/>
              <w:keepNext w:val="true"/>
              <w:jc w:val="both"/>
              <w:rPr>
                <w:rFonts w:ascii="Times New Roman" w:hAnsi="Times New Roman" w:cs="Times New Roman"/>
              </w:rPr>
            </w:pPr>
            <w:r>
              <w:rPr>
                <w:rFonts w:eastAsia="Times New Roman" w:cs="Times New Roman" w:ascii="Times New Roman" w:hAnsi="Times New Roman"/>
              </w:rPr>
              <w:t xml:space="preserve">_________________ /____________/ </w:t>
            </w:r>
          </w:p>
          <w:p>
            <w:pPr>
              <w:pStyle w:val="Normal"/>
              <w:keepNext w:val="true"/>
              <w:jc w:val="both"/>
              <w:rPr>
                <w:rFonts w:ascii="Times New Roman" w:hAnsi="Times New Roman" w:cs="Times New Roman"/>
              </w:rPr>
            </w:pPr>
            <w:r>
              <w:rPr>
                <w:rFonts w:cs="Times New Roman" w:ascii="Times New Roman" w:hAnsi="Times New Roman"/>
              </w:rPr>
            </w:r>
          </w:p>
        </w:tc>
      </w:tr>
    </w:tbl>
    <w:p>
      <w:pPr>
        <w:sectPr>
          <w:headerReference w:type="default" r:id="rId2"/>
          <w:headerReference w:type="first" r:id="rId3"/>
          <w:footerReference w:type="default" r:id="rId4"/>
          <w:footerReference w:type="first" r:id="rId5"/>
          <w:footnotePr>
            <w:numFmt w:val="decimal"/>
            <w:numRestart w:val="eachSect"/>
          </w:footnotePr>
          <w:type w:val="nextPage"/>
          <w:pgSz w:w="11906" w:h="16838"/>
          <w:pgMar w:left="1134" w:right="1134" w:gutter="0" w:header="397" w:top="851" w:footer="6" w:bottom="567"/>
          <w:pgNumType w:start="1" w:fmt="decimal"/>
          <w:formProt w:val="false"/>
          <w:titlePg/>
          <w:textDirection w:val="lrTb"/>
          <w:docGrid w:type="default" w:linePitch="360" w:charSpace="0"/>
        </w:sectPr>
      </w:pPr>
    </w:p>
    <w:p>
      <w:pPr>
        <w:pStyle w:val="Normal"/>
        <w:spacing w:before="0" w:after="0"/>
        <w:ind w:left="4253" w:hanging="0"/>
        <w:contextualSpacing/>
        <w:jc w:val="center"/>
        <w:rPr>
          <w:rFonts w:ascii="Times New Roman" w:hAnsi="Times New Roman" w:eastAsia="Times New Roman" w:cs="Times New Roman"/>
          <w:sz w:val="28"/>
          <w:szCs w:val="28"/>
          <w:lang w:bidi="ar-SA"/>
        </w:rPr>
      </w:pPr>
      <w:r>
        <w:rPr>
          <w:rFonts w:eastAsia="Times New Roman" w:cs="Times New Roman" w:ascii="Times New Roman" w:hAnsi="Times New Roman"/>
          <w:sz w:val="28"/>
          <w:szCs w:val="28"/>
          <w:lang w:bidi="ar-SA"/>
        </w:rPr>
        <w:t xml:space="preserve">Приложение к лицензионному договору </w:t>
        <w:br/>
        <w:t>о предоставлении права</w:t>
      </w:r>
    </w:p>
    <w:p>
      <w:pPr>
        <w:pStyle w:val="Normal"/>
        <w:spacing w:before="0" w:after="0"/>
        <w:ind w:left="4253" w:hanging="0"/>
        <w:contextualSpacing/>
        <w:jc w:val="center"/>
        <w:rPr>
          <w:rFonts w:ascii="Times New Roman" w:hAnsi="Times New Roman" w:eastAsia="Times New Roman" w:cs="Times New Roman"/>
          <w:sz w:val="28"/>
          <w:szCs w:val="28"/>
          <w:lang w:bidi="ar-SA"/>
        </w:rPr>
      </w:pPr>
      <w:r>
        <w:rPr>
          <w:rFonts w:eastAsia="Times New Roman" w:cs="Times New Roman" w:ascii="Times New Roman" w:hAnsi="Times New Roman"/>
          <w:sz w:val="28"/>
          <w:szCs w:val="28"/>
          <w:lang w:bidi="ar-SA"/>
        </w:rPr>
        <w:t>использования типового программного обеспечения управления данными между Министерством цифрового развития,</w:t>
      </w:r>
      <w:r>
        <w:rPr>
          <w:rFonts w:eastAsia="Times New Roman" w:cs="Times New Roman" w:ascii="Times New Roman" w:hAnsi="Times New Roman"/>
          <w:sz w:val="28"/>
          <w:szCs w:val="28"/>
          <w:lang w:val="en-US" w:bidi="ar-SA"/>
        </w:rPr>
        <w:t xml:space="preserve"> </w:t>
      </w:r>
      <w:r>
        <w:rPr>
          <w:rFonts w:eastAsia="Times New Roman" w:cs="Times New Roman" w:ascii="Times New Roman" w:hAnsi="Times New Roman"/>
          <w:sz w:val="28"/>
          <w:szCs w:val="28"/>
          <w:lang w:val="en-US" w:bidi="ar-SA"/>
        </w:rPr>
        <w:t>с</w:t>
      </w:r>
      <w:r>
        <w:rPr>
          <w:rFonts w:eastAsia="Times New Roman" w:cs="Times New Roman" w:ascii="Times New Roman" w:hAnsi="Times New Roman"/>
          <w:sz w:val="28"/>
          <w:szCs w:val="28"/>
          <w:lang w:val="ru-RU" w:bidi="ar-SA"/>
        </w:rPr>
        <w:t>в</w:t>
      </w:r>
      <w:r>
        <w:rPr>
          <w:rFonts w:eastAsia="Times New Roman" w:cs="Times New Roman" w:ascii="Times New Roman" w:hAnsi="Times New Roman"/>
          <w:sz w:val="28"/>
          <w:szCs w:val="28"/>
          <w:lang w:val="ru-RU" w:bidi="ar-SA"/>
        </w:rPr>
        <w:t>яз</w:t>
      </w:r>
      <w:r>
        <w:rPr>
          <w:rFonts w:eastAsia="Times New Roman" w:cs="Times New Roman" w:ascii="Times New Roman" w:hAnsi="Times New Roman"/>
          <w:sz w:val="28"/>
          <w:szCs w:val="28"/>
          <w:lang w:val="ru-RU" w:bidi="ar-SA"/>
        </w:rPr>
        <w:t xml:space="preserve">и </w:t>
      </w:r>
      <w:r>
        <w:rPr>
          <w:rFonts w:eastAsia="Times New Roman" w:cs="Times New Roman" w:ascii="Times New Roman" w:hAnsi="Times New Roman"/>
          <w:sz w:val="28"/>
          <w:szCs w:val="28"/>
          <w:lang w:val="ru-RU" w:bidi="ar-SA"/>
        </w:rPr>
        <w:t>и массовых коммуникаций</w:t>
      </w:r>
      <w:r>
        <w:rPr>
          <w:rFonts w:eastAsia="Times New Roman" w:cs="Times New Roman" w:ascii="Times New Roman" w:hAnsi="Times New Roman"/>
          <w:sz w:val="28"/>
          <w:szCs w:val="28"/>
          <w:lang w:val="en-US" w:bidi="ar-SA"/>
        </w:rPr>
        <w:t xml:space="preserve"> </w:t>
      </w:r>
      <w:r>
        <w:rPr>
          <w:rFonts w:eastAsia="Times New Roman" w:cs="Times New Roman" w:ascii="Times New Roman" w:hAnsi="Times New Roman"/>
          <w:sz w:val="28"/>
          <w:szCs w:val="28"/>
          <w:lang w:bidi="ar-SA"/>
        </w:rPr>
        <w:t>Российской Федерации и ________________</w:t>
      </w:r>
    </w:p>
    <w:p>
      <w:pPr>
        <w:pStyle w:val="Normal"/>
        <w:spacing w:before="0" w:after="0"/>
        <w:ind w:left="4253" w:hanging="0"/>
        <w:contextualSpacing/>
        <w:jc w:val="center"/>
        <w:rPr>
          <w:rFonts w:ascii="Times New Roman" w:hAnsi="Times New Roman" w:eastAsia="Times New Roman" w:cs="Times New Roman"/>
          <w:b/>
          <w:sz w:val="28"/>
          <w:szCs w:val="28"/>
          <w:lang w:bidi="ar-SA"/>
        </w:rPr>
      </w:pPr>
      <w:r>
        <w:rPr>
          <w:rFonts w:eastAsia="Times New Roman" w:cs="Times New Roman" w:ascii="Times New Roman" w:hAnsi="Times New Roman"/>
          <w:sz w:val="28"/>
          <w:szCs w:val="28"/>
          <w:lang w:bidi="ar-SA"/>
        </w:rPr>
        <w:t>от «___» ______________ 20___ г.</w:t>
      </w:r>
    </w:p>
    <w:p>
      <w:pPr>
        <w:pStyle w:val="Normal"/>
        <w:jc w:val="right"/>
        <w:rPr>
          <w:rFonts w:ascii="Times New Roman" w:hAnsi="Times New Roman" w:eastAsia="Times New Roman" w:cs="Times New Roman"/>
          <w:b/>
          <w:sz w:val="28"/>
          <w:szCs w:val="28"/>
          <w:lang w:bidi="ar-SA"/>
        </w:rPr>
      </w:pPr>
      <w:r>
        <w:rPr>
          <w:rFonts w:eastAsia="Times New Roman" w:cs="Times New Roman" w:ascii="Times New Roman" w:hAnsi="Times New Roman"/>
          <w:b/>
          <w:sz w:val="28"/>
          <w:szCs w:val="28"/>
          <w:lang w:bidi="ar-SA"/>
        </w:rPr>
      </w:r>
    </w:p>
    <w:p>
      <w:pPr>
        <w:pStyle w:val="Normal"/>
        <w:jc w:val="right"/>
        <w:rPr>
          <w:rFonts w:ascii="Times New Roman" w:hAnsi="Times New Roman" w:eastAsia="Times New Roman" w:cs="Times New Roman"/>
          <w:b/>
          <w:sz w:val="28"/>
          <w:szCs w:val="28"/>
          <w:lang w:bidi="ar-SA"/>
        </w:rPr>
      </w:pPr>
      <w:r>
        <w:rPr>
          <w:rFonts w:eastAsia="Times New Roman" w:cs="Times New Roman" w:ascii="Times New Roman" w:hAnsi="Times New Roman"/>
          <w:b/>
          <w:sz w:val="28"/>
          <w:szCs w:val="28"/>
          <w:lang w:bidi="ar-SA"/>
        </w:rPr>
      </w:r>
    </w:p>
    <w:p>
      <w:pPr>
        <w:pStyle w:val="Normal"/>
        <w:jc w:val="right"/>
        <w:rPr>
          <w:rFonts w:ascii="Times New Roman" w:hAnsi="Times New Roman" w:eastAsia="Times New Roman" w:cs="Times New Roman"/>
          <w:b/>
          <w:sz w:val="28"/>
          <w:szCs w:val="28"/>
          <w:lang w:bidi="ar-SA"/>
        </w:rPr>
      </w:pPr>
      <w:r>
        <w:rPr>
          <w:rFonts w:eastAsia="Times New Roman" w:cs="Times New Roman" w:ascii="Times New Roman" w:hAnsi="Times New Roman"/>
          <w:b/>
          <w:sz w:val="28"/>
          <w:szCs w:val="28"/>
          <w:lang w:bidi="ar-SA"/>
        </w:rPr>
      </w:r>
    </w:p>
    <w:p>
      <w:pPr>
        <w:pStyle w:val="Normal"/>
        <w:jc w:val="right"/>
        <w:rPr>
          <w:rFonts w:ascii="Times New Roman" w:hAnsi="Times New Roman" w:eastAsia="Times New Roman" w:cs="Times New Roman"/>
          <w:b/>
          <w:sz w:val="28"/>
          <w:szCs w:val="28"/>
          <w:lang w:bidi="ar-SA"/>
        </w:rPr>
      </w:pPr>
      <w:r>
        <w:rPr>
          <w:rFonts w:eastAsia="Times New Roman" w:cs="Times New Roman" w:ascii="Times New Roman" w:hAnsi="Times New Roman"/>
          <w:b/>
          <w:sz w:val="28"/>
          <w:szCs w:val="28"/>
          <w:lang w:bidi="ar-SA"/>
        </w:rPr>
      </w:r>
    </w:p>
    <w:p>
      <w:pPr>
        <w:pStyle w:val="Normal"/>
        <w:jc w:val="center"/>
        <w:rPr>
          <w:sz w:val="28"/>
          <w:szCs w:val="28"/>
        </w:rPr>
      </w:pPr>
      <w:r>
        <w:rPr>
          <w:rFonts w:eastAsia="Times New Roman" w:cs="Times New Roman" w:ascii="Times New Roman" w:hAnsi="Times New Roman"/>
          <w:b/>
          <w:sz w:val="28"/>
          <w:szCs w:val="28"/>
          <w:lang w:bidi="ar-SA"/>
        </w:rPr>
        <w:t>ФОРМА АКТА ПРИЕМА-ПЕРЕДАЧИ</w:t>
      </w:r>
    </w:p>
    <w:p>
      <w:pPr>
        <w:pStyle w:val="33"/>
        <w:shd w:fill="auto" w:val="clear"/>
        <w:spacing w:lineRule="auto" w:line="240" w:before="0" w:after="0"/>
        <w:contextualSpacing/>
        <w:jc w:val="center"/>
        <w:rPr>
          <w:bCs w:val="false"/>
          <w:sz w:val="28"/>
          <w:szCs w:val="28"/>
        </w:rPr>
      </w:pPr>
      <w:r>
        <w:rPr>
          <w:bCs w:val="false"/>
          <w:sz w:val="28"/>
          <w:szCs w:val="28"/>
        </w:rPr>
        <w:t>права на использование типового программного обеспечения</w:t>
      </w:r>
    </w:p>
    <w:p>
      <w:pPr>
        <w:pStyle w:val="33"/>
        <w:shd w:fill="auto" w:val="clear"/>
        <w:spacing w:lineRule="auto" w:line="240" w:before="0" w:after="0"/>
        <w:contextualSpacing/>
        <w:jc w:val="center"/>
        <w:rPr>
          <w:rStyle w:val="31"/>
          <w:b w:val="false"/>
          <w:bCs w:val="false"/>
          <w:i/>
          <w:i/>
          <w:iCs/>
          <w:sz w:val="16"/>
          <w:szCs w:val="16"/>
        </w:rPr>
      </w:pPr>
      <w:r>
        <w:rPr>
          <w:bCs w:val="false"/>
          <w:sz w:val="28"/>
          <w:szCs w:val="28"/>
        </w:rPr>
        <w:t>управления данными № ___</w:t>
      </w:r>
    </w:p>
    <w:p>
      <w:pPr>
        <w:pStyle w:val="33"/>
        <w:shd w:fill="auto" w:val="clear"/>
        <w:spacing w:lineRule="auto" w:line="240" w:before="0" w:after="0"/>
        <w:contextualSpacing/>
        <w:jc w:val="center"/>
        <w:rPr/>
      </w:pPr>
      <w:r>
        <w:rPr>
          <w:rStyle w:val="31"/>
          <w:b w:val="false"/>
          <w:bCs w:val="false"/>
          <w:i/>
          <w:iCs/>
          <w:sz w:val="16"/>
          <w:szCs w:val="16"/>
        </w:rPr>
        <w:t xml:space="preserve">   </w:t>
      </w:r>
    </w:p>
    <w:p>
      <w:pPr>
        <w:pStyle w:val="33"/>
        <w:shd w:fill="auto" w:val="clear"/>
        <w:spacing w:lineRule="auto" w:line="240" w:before="0" w:after="0"/>
        <w:contextualSpacing/>
        <w:jc w:val="center"/>
        <w:rPr/>
      </w:pPr>
      <w:r>
        <w:rPr/>
      </w:r>
    </w:p>
    <w:tbl>
      <w:tblPr>
        <w:tblW w:w="9622" w:type="dxa"/>
        <w:jc w:val="left"/>
        <w:tblInd w:w="0" w:type="dxa"/>
        <w:tblLayout w:type="fixed"/>
        <w:tblCellMar>
          <w:top w:w="0" w:type="dxa"/>
          <w:left w:w="108" w:type="dxa"/>
          <w:bottom w:w="0" w:type="dxa"/>
          <w:right w:w="108" w:type="dxa"/>
        </w:tblCellMar>
      </w:tblPr>
      <w:tblGrid>
        <w:gridCol w:w="4812"/>
        <w:gridCol w:w="4810"/>
      </w:tblGrid>
      <w:tr>
        <w:trPr/>
        <w:tc>
          <w:tcPr>
            <w:tcW w:w="4812" w:type="dxa"/>
            <w:tcBorders/>
          </w:tcPr>
          <w:p>
            <w:pPr>
              <w:pStyle w:val="22"/>
              <w:shd w:fill="auto" w:val="clear"/>
              <w:tabs>
                <w:tab w:val="clear" w:pos="708"/>
                <w:tab w:val="left" w:pos="5971" w:leader="none"/>
                <w:tab w:val="left" w:pos="8558" w:leader="none"/>
              </w:tabs>
              <w:spacing w:lineRule="auto" w:line="240" w:before="0" w:after="0"/>
              <w:ind w:left="-110" w:right="0" w:hanging="0"/>
              <w:contextualSpacing/>
              <w:rPr>
                <w:sz w:val="28"/>
                <w:szCs w:val="28"/>
              </w:rPr>
            </w:pPr>
            <w:r>
              <w:rPr>
                <w:sz w:val="28"/>
                <w:szCs w:val="28"/>
              </w:rPr>
              <w:t>г. Москва</w:t>
            </w:r>
          </w:p>
        </w:tc>
        <w:tc>
          <w:tcPr>
            <w:tcW w:w="4810" w:type="dxa"/>
            <w:tcBorders/>
          </w:tcPr>
          <w:p>
            <w:pPr>
              <w:pStyle w:val="22"/>
              <w:shd w:fill="auto" w:val="clear"/>
              <w:tabs>
                <w:tab w:val="clear" w:pos="708"/>
                <w:tab w:val="left" w:pos="5971" w:leader="none"/>
                <w:tab w:val="left" w:pos="8558" w:leader="none"/>
              </w:tabs>
              <w:spacing w:lineRule="auto" w:line="240" w:before="0" w:after="0"/>
              <w:ind w:left="0" w:right="0" w:firstLine="706"/>
              <w:contextualSpacing/>
              <w:jc w:val="right"/>
              <w:rPr>
                <w:sz w:val="28"/>
                <w:szCs w:val="28"/>
              </w:rPr>
            </w:pPr>
            <w:r>
              <w:rPr>
                <w:sz w:val="28"/>
                <w:szCs w:val="28"/>
              </w:rPr>
              <w:t>«___» ______________ 20___ г.</w:t>
            </w:r>
          </w:p>
        </w:tc>
      </w:tr>
    </w:tbl>
    <w:p>
      <w:pPr>
        <w:pStyle w:val="22"/>
        <w:spacing w:lineRule="auto" w:line="240" w:before="0" w:after="0"/>
        <w:ind w:left="0" w:right="0" w:firstLine="403"/>
        <w:rPr>
          <w:sz w:val="28"/>
          <w:szCs w:val="28"/>
        </w:rPr>
      </w:pPr>
      <w:r>
        <w:rPr>
          <w:sz w:val="16"/>
          <w:szCs w:val="16"/>
        </w:rPr>
        <w:t xml:space="preserve">   </w:t>
      </w:r>
    </w:p>
    <w:p>
      <w:pPr>
        <w:pStyle w:val="22"/>
        <w:spacing w:lineRule="auto" w:line="240" w:before="0" w:after="0"/>
        <w:ind w:left="0" w:right="0" w:firstLine="706"/>
        <w:rPr>
          <w:sz w:val="28"/>
          <w:szCs w:val="28"/>
        </w:rPr>
      </w:pPr>
      <w:r>
        <w:rPr>
          <w:sz w:val="28"/>
          <w:szCs w:val="28"/>
        </w:rPr>
      </w:r>
    </w:p>
    <w:p>
      <w:pPr>
        <w:pStyle w:val="22"/>
        <w:spacing w:lineRule="auto" w:line="240" w:before="0" w:after="0"/>
        <w:ind w:left="0" w:right="0" w:firstLine="706"/>
        <w:rPr>
          <w:sz w:val="28"/>
          <w:szCs w:val="28"/>
        </w:rPr>
      </w:pPr>
      <w:r>
        <w:rPr>
          <w:sz w:val="28"/>
          <w:szCs w:val="28"/>
        </w:rPr>
      </w:r>
    </w:p>
    <w:p>
      <w:pPr>
        <w:pStyle w:val="22"/>
        <w:spacing w:lineRule="auto" w:line="240" w:before="0" w:after="0"/>
        <w:ind w:left="0" w:right="0" w:firstLine="706"/>
        <w:rPr>
          <w:sz w:val="28"/>
          <w:szCs w:val="28"/>
          <w:lang w:bidi="ar-SA"/>
        </w:rPr>
      </w:pPr>
      <w:r>
        <w:rPr>
          <w:sz w:val="28"/>
          <w:szCs w:val="28"/>
        </w:rPr>
        <w:t xml:space="preserve">Министерство цифрового развития, связи и массовых коммуникаций Российской Федерации, от имени Российской Федерации, именуемое </w:t>
        <w:br/>
        <w:t xml:space="preserve">в дальнейшем «Лицензиар», в лице ______________, действующего </w:t>
        <w:br/>
        <w:t xml:space="preserve">на основании______________, с одной стороны и ______________, </w:t>
        <w:br/>
        <w:t>именуемое(-ый, -ая) в дальнейшем «Лицензиат», в лице ____________, действующей(-его) на основании_____________</w:t>
      </w:r>
      <w:r>
        <w:rPr>
          <w:rFonts w:eastAsia="Calibri"/>
          <w:sz w:val="28"/>
          <w:szCs w:val="28"/>
          <w:lang w:eastAsia="en-US"/>
        </w:rPr>
        <w:t xml:space="preserve">, </w:t>
      </w:r>
      <w:r>
        <w:rPr>
          <w:sz w:val="28"/>
          <w:szCs w:val="28"/>
        </w:rPr>
        <w:t xml:space="preserve">с другой стороны, совместно именуемые в дальнейшем «Стороны», а по отдельности – «Сторона», </w:t>
        <w:br/>
        <w:t xml:space="preserve">во исполнение лицензионного договора о предоставлении права использования типового программного обеспечения управления данными </w:t>
        <w:br/>
        <w:t>(далее соответственно – Договор, ТПО УД) составили и подписали в форме электронных документов усиленными квалицированными электронными подписями настоящий акт приема-передачи права на использование ТПО УД (далее – Акт) о нижеследующем:</w:t>
      </w:r>
    </w:p>
    <w:p>
      <w:pPr>
        <w:pStyle w:val="33"/>
        <w:numPr>
          <w:ilvl w:val="0"/>
          <w:numId w:val="1"/>
        </w:numPr>
        <w:shd w:fill="auto" w:val="clear"/>
        <w:tabs>
          <w:tab w:val="clear" w:pos="708"/>
          <w:tab w:val="left" w:pos="1964" w:leader="underscore"/>
          <w:tab w:val="left" w:pos="4570" w:leader="underscore"/>
        </w:tabs>
        <w:spacing w:lineRule="auto" w:line="240" w:before="0" w:after="0"/>
        <w:ind w:left="0" w:firstLine="709"/>
        <w:rPr>
          <w:sz w:val="28"/>
          <w:szCs w:val="28"/>
        </w:rPr>
      </w:pPr>
      <w:r>
        <w:rPr>
          <w:b w:val="false"/>
          <w:sz w:val="28"/>
          <w:szCs w:val="28"/>
          <w:lang w:bidi="ar-SA"/>
        </w:rPr>
        <w:t>Лицензиар</w:t>
      </w:r>
      <w:r>
        <w:rPr>
          <w:b w:val="false"/>
          <w:sz w:val="28"/>
          <w:szCs w:val="28"/>
        </w:rPr>
        <w:t xml:space="preserve"> передал, а Лицензиат принял по Договору на условиях простой (неисключительной) лицензии право использования ТПО УД согласно спецификации (приложе</w:t>
      </w:r>
      <w:r>
        <w:rPr>
          <w:b w:val="false"/>
          <w:sz w:val="28"/>
          <w:szCs w:val="28"/>
        </w:rPr>
        <w:t>ние к Ату</w:t>
      </w:r>
      <w:r>
        <w:rPr>
          <w:b w:val="false"/>
          <w:sz w:val="28"/>
          <w:szCs w:val="28"/>
        </w:rPr>
        <w:t>), включая исполняемый код и техническую документацию .</w:t>
      </w:r>
    </w:p>
    <w:p>
      <w:pPr>
        <w:pStyle w:val="22"/>
        <w:numPr>
          <w:ilvl w:val="0"/>
          <w:numId w:val="1"/>
        </w:numPr>
        <w:shd w:fill="auto" w:val="clear"/>
        <w:spacing w:lineRule="auto" w:line="240" w:before="0" w:after="0"/>
        <w:ind w:left="0" w:right="0" w:firstLine="706"/>
        <w:contextualSpacing/>
        <w:rPr>
          <w:sz w:val="28"/>
          <w:szCs w:val="28"/>
        </w:rPr>
      </w:pPr>
      <w:r>
        <w:rPr>
          <w:sz w:val="28"/>
          <w:szCs w:val="28"/>
        </w:rPr>
        <w:t xml:space="preserve">Неисключительная (простая) лицензия на передаваемое ТПО УД предоставляется Лицензиату безвозмездно. </w:t>
      </w:r>
    </w:p>
    <w:p>
      <w:pPr>
        <w:pStyle w:val="22"/>
        <w:numPr>
          <w:ilvl w:val="0"/>
          <w:numId w:val="1"/>
        </w:numPr>
        <w:shd w:fill="auto" w:val="clear"/>
        <w:spacing w:lineRule="auto" w:line="240" w:before="0" w:after="0"/>
        <w:ind w:left="0" w:right="0" w:firstLine="706"/>
        <w:contextualSpacing/>
        <w:rPr>
          <w:sz w:val="28"/>
          <w:szCs w:val="28"/>
        </w:rPr>
      </w:pPr>
      <w:r>
        <w:rPr>
          <w:sz w:val="28"/>
          <w:szCs w:val="28"/>
        </w:rPr>
        <w:t>Претензий материального и иного характера Стороны друг к другу</w:t>
        <w:br/>
        <w:t>не имеют.</w:t>
      </w:r>
    </w:p>
    <w:p>
      <w:pPr>
        <w:pStyle w:val="22"/>
        <w:numPr>
          <w:ilvl w:val="0"/>
          <w:numId w:val="1"/>
        </w:numPr>
        <w:shd w:fill="auto" w:val="clear"/>
        <w:spacing w:lineRule="auto" w:line="240" w:before="0" w:after="0"/>
        <w:ind w:left="0" w:right="0" w:firstLine="709"/>
        <w:contextualSpacing/>
        <w:rPr>
          <w:b/>
          <w:sz w:val="28"/>
          <w:szCs w:val="28"/>
          <w:lang w:bidi="ar-SA"/>
        </w:rPr>
      </w:pPr>
      <w:r>
        <w:rPr>
          <w:sz w:val="28"/>
          <w:szCs w:val="28"/>
        </w:rPr>
        <w:t xml:space="preserve">Акт составлен на русском языке в электронной форме. Фактическое подписание Акта производится в форме электронных документов </w:t>
        <w:br/>
        <w:t>с использованием системы межведомственного электронного документооборота. Акт размещен в указанной системе с возможностью доступа к нему обеих Сторон и подписан усиленными квалифицированными электронными подписями Сторон.</w:t>
      </w:r>
    </w:p>
    <w:p>
      <w:pPr>
        <w:pStyle w:val="Normal"/>
        <w:spacing w:before="0" w:after="0"/>
        <w:contextualSpacing/>
        <w:jc w:val="center"/>
        <w:rPr>
          <w:b/>
          <w:sz w:val="28"/>
          <w:szCs w:val="28"/>
          <w:lang w:bidi="ar-SA"/>
        </w:rPr>
      </w:pPr>
      <w:r>
        <w:rPr>
          <w:rFonts w:eastAsia="Times New Roman" w:cs="Times New Roman" w:ascii="Times New Roman" w:hAnsi="Times New Roman"/>
          <w:b/>
          <w:sz w:val="28"/>
          <w:szCs w:val="28"/>
          <w:lang w:bidi="ar-SA"/>
        </w:rPr>
      </w:r>
    </w:p>
    <w:p>
      <w:pPr>
        <w:pStyle w:val="Normal"/>
        <w:spacing w:before="0" w:after="0"/>
        <w:contextualSpacing/>
        <w:jc w:val="center"/>
        <w:rPr>
          <w:b/>
          <w:sz w:val="28"/>
          <w:szCs w:val="28"/>
          <w:lang w:bidi="ar-SA"/>
        </w:rPr>
      </w:pPr>
      <w:r>
        <w:rPr>
          <w:rFonts w:eastAsia="Times New Roman" w:cs="Times New Roman" w:ascii="Times New Roman" w:hAnsi="Times New Roman"/>
          <w:b/>
          <w:sz w:val="28"/>
          <w:szCs w:val="28"/>
          <w:lang w:bidi="ar-SA"/>
        </w:rPr>
        <w:t>Реквизиты и подписи Сторон</w:t>
      </w:r>
    </w:p>
    <w:p>
      <w:pPr>
        <w:pStyle w:val="Normal"/>
        <w:spacing w:before="0" w:after="0"/>
        <w:contextualSpacing/>
        <w:jc w:val="center"/>
        <w:rPr>
          <w:b/>
          <w:sz w:val="28"/>
          <w:szCs w:val="28"/>
          <w:lang w:bidi="ar-SA"/>
        </w:rPr>
      </w:pPr>
      <w:r>
        <w:rPr>
          <w:b/>
          <w:sz w:val="28"/>
          <w:szCs w:val="28"/>
          <w:lang w:bidi="ar-SA"/>
        </w:rPr>
      </w:r>
    </w:p>
    <w:tbl>
      <w:tblPr>
        <w:tblW w:w="9528" w:type="dxa"/>
        <w:jc w:val="left"/>
        <w:tblInd w:w="108" w:type="dxa"/>
        <w:tblLayout w:type="fixed"/>
        <w:tblCellMar>
          <w:top w:w="0" w:type="dxa"/>
          <w:left w:w="108" w:type="dxa"/>
          <w:bottom w:w="0" w:type="dxa"/>
          <w:right w:w="108" w:type="dxa"/>
        </w:tblCellMar>
      </w:tblPr>
      <w:tblGrid>
        <w:gridCol w:w="4587"/>
        <w:gridCol w:w="285"/>
        <w:gridCol w:w="4656"/>
      </w:tblGrid>
      <w:tr>
        <w:trPr>
          <w:trHeight w:val="2573" w:hRule="atLeast"/>
        </w:trPr>
        <w:tc>
          <w:tcPr>
            <w:tcW w:w="4587" w:type="dxa"/>
            <w:tcBorders/>
          </w:tcPr>
          <w:p>
            <w:pPr>
              <w:pStyle w:val="Normal"/>
              <w:spacing w:before="0" w:after="0"/>
              <w:contextualSpacing/>
              <w:jc w:val="center"/>
              <w:rPr>
                <w:rFonts w:ascii="Times New Roman" w:hAnsi="Times New Roman" w:eastAsia="Times New Roman" w:cs="Times New Roman"/>
                <w:b/>
                <w:sz w:val="28"/>
                <w:szCs w:val="28"/>
                <w:lang w:bidi="ar-SA"/>
              </w:rPr>
            </w:pPr>
            <w:r>
              <w:rPr>
                <w:rFonts w:eastAsia="Times New Roman" w:cs="Times New Roman" w:ascii="Times New Roman" w:hAnsi="Times New Roman"/>
                <w:b/>
                <w:sz w:val="28"/>
                <w:szCs w:val="28"/>
                <w:lang w:bidi="ar-SA"/>
              </w:rPr>
              <w:t>Лицензиар</w:t>
            </w:r>
          </w:p>
          <w:p>
            <w:pPr>
              <w:pStyle w:val="Normal"/>
              <w:spacing w:before="0" w:after="0"/>
              <w:contextualSpacing/>
              <w:rPr>
                <w:rFonts w:ascii="Times New Roman" w:hAnsi="Times New Roman" w:eastAsia="Times New Roman" w:cs="Times New Roman"/>
                <w:b/>
                <w:sz w:val="28"/>
                <w:szCs w:val="28"/>
                <w:lang w:bidi="ar-SA"/>
              </w:rPr>
            </w:pPr>
            <w:r>
              <w:rPr>
                <w:rFonts w:eastAsia="Times New Roman" w:cs="Times New Roman" w:ascii="Times New Roman" w:hAnsi="Times New Roman"/>
                <w:b/>
                <w:sz w:val="28"/>
                <w:szCs w:val="28"/>
                <w:lang w:bidi="ar-SA"/>
              </w:rPr>
            </w:r>
          </w:p>
          <w:p>
            <w:pPr>
              <w:pStyle w:val="Normal"/>
              <w:rPr>
                <w:rFonts w:ascii="Times New Roman" w:hAnsi="Times New Roman" w:cs="Times New Roman"/>
                <w:shd w:fill="FFFFFF" w:val="clear"/>
              </w:rPr>
            </w:pPr>
            <w:r>
              <w:rPr>
                <w:rFonts w:cs="Times New Roman" w:ascii="Times New Roman" w:hAnsi="Times New Roman"/>
                <w:b/>
                <w:shd w:fill="FFFFFF" w:val="clear"/>
              </w:rPr>
              <w:t>Министерство цифрового развития,</w:t>
              <w:br/>
              <w:t xml:space="preserve">связи и массовых коммуникаций </w:t>
              <w:br/>
              <w:t>Российской Федерации</w:t>
            </w:r>
          </w:p>
          <w:p>
            <w:pPr>
              <w:pStyle w:val="Normal"/>
              <w:rPr>
                <w:rFonts w:ascii="Times New Roman" w:hAnsi="Times New Roman" w:cs="Times New Roman"/>
                <w:shd w:fill="FFFFFF" w:val="clear"/>
              </w:rPr>
            </w:pPr>
            <w:r>
              <w:rPr>
                <w:rFonts w:cs="Times New Roman" w:ascii="Times New Roman" w:hAnsi="Times New Roman"/>
                <w:shd w:fill="FFFFFF" w:val="clear"/>
              </w:rPr>
            </w:r>
          </w:p>
          <w:p>
            <w:pPr>
              <w:pStyle w:val="Normal"/>
              <w:rPr>
                <w:rFonts w:ascii="Times New Roman" w:hAnsi="Times New Roman" w:cs="Times New Roman"/>
                <w:shd w:fill="FFFFFF" w:val="clear"/>
              </w:rPr>
            </w:pPr>
            <w:r>
              <w:rPr>
                <w:rFonts w:cs="Times New Roman" w:ascii="Times New Roman" w:hAnsi="Times New Roman"/>
                <w:shd w:fill="FFFFFF" w:val="clear"/>
              </w:rPr>
            </w:r>
          </w:p>
          <w:p>
            <w:pPr>
              <w:pStyle w:val="Normal"/>
              <w:rPr>
                <w:rFonts w:ascii="Times New Roman" w:hAnsi="Times New Roman" w:cs="Times New Roman"/>
                <w:shd w:fill="FFFFFF" w:val="clear"/>
              </w:rPr>
            </w:pPr>
            <w:r>
              <w:rPr>
                <w:rFonts w:cs="Times New Roman" w:ascii="Times New Roman" w:hAnsi="Times New Roman"/>
                <w:shd w:fill="FFFFFF" w:val="clear"/>
              </w:rPr>
            </w:r>
          </w:p>
          <w:p>
            <w:pPr>
              <w:pStyle w:val="Normal"/>
              <w:rPr>
                <w:rFonts w:ascii="Times New Roman" w:hAnsi="Times New Roman" w:cs="Times New Roman"/>
                <w:shd w:fill="FFFFFF" w:val="clear"/>
              </w:rPr>
            </w:pPr>
            <w:r>
              <w:rPr>
                <w:rFonts w:cs="Times New Roman" w:ascii="Times New Roman" w:hAnsi="Times New Roman"/>
                <w:b/>
                <w:shd w:fill="FFFFFF" w:val="clear"/>
              </w:rPr>
              <w:t>Адрес</w:t>
            </w:r>
            <w:r>
              <w:rPr>
                <w:rFonts w:cs="Times New Roman" w:ascii="Times New Roman" w:hAnsi="Times New Roman"/>
                <w:shd w:fill="FFFFFF" w:val="clear"/>
              </w:rPr>
              <w:t>:</w:t>
            </w:r>
            <w:r>
              <w:rPr>
                <w:rFonts w:cs="Times New Roman" w:ascii="Times New Roman" w:hAnsi="Times New Roman"/>
                <w:i/>
                <w:shd w:fill="FFFFFF" w:val="clear"/>
              </w:rPr>
              <w:t xml:space="preserve"> </w:t>
            </w:r>
            <w:r>
              <w:rPr>
                <w:rFonts w:cs="Times New Roman" w:ascii="Times New Roman" w:hAnsi="Times New Roman"/>
                <w:shd w:fill="FFFFFF" w:val="clear"/>
              </w:rPr>
              <w:t>123112, г. Москва, Пресненская наб., д.10, стр.2</w:t>
            </w:r>
          </w:p>
          <w:p>
            <w:pPr>
              <w:pStyle w:val="Normal"/>
              <w:rPr>
                <w:rFonts w:ascii="Times New Roman" w:hAnsi="Times New Roman" w:cs="Times New Roman"/>
                <w:shd w:fill="FFFFFF" w:val="clear"/>
                <w:lang w:val="en-US"/>
              </w:rPr>
            </w:pPr>
            <w:r>
              <w:rPr>
                <w:rFonts w:cs="Times New Roman" w:ascii="Times New Roman" w:hAnsi="Times New Roman"/>
                <w:shd w:fill="FFFFFF" w:val="clear"/>
                <w:lang w:val="en-US"/>
              </w:rPr>
              <w:t>E-mail: office@digital.gov.ru</w:t>
            </w:r>
          </w:p>
          <w:p>
            <w:pPr>
              <w:pStyle w:val="Normal"/>
              <w:rPr>
                <w:rFonts w:ascii="Times New Roman" w:hAnsi="Times New Roman" w:cs="Times New Roman"/>
                <w:shd w:fill="FFFFFF" w:val="clear"/>
              </w:rPr>
            </w:pPr>
            <w:r>
              <w:rPr>
                <w:rFonts w:cs="Times New Roman" w:ascii="Times New Roman" w:hAnsi="Times New Roman"/>
                <w:shd w:fill="FFFFFF" w:val="clear"/>
              </w:rPr>
              <w:t>Тел.: +7 (495) 771-80-00</w:t>
            </w:r>
          </w:p>
        </w:tc>
        <w:tc>
          <w:tcPr>
            <w:tcW w:w="285" w:type="dxa"/>
            <w:tcBorders/>
          </w:tcPr>
          <w:p>
            <w:pPr>
              <w:pStyle w:val="Normal"/>
              <w:snapToGrid w:val="false"/>
              <w:rPr>
                <w:rFonts w:ascii="Times New Roman" w:hAnsi="Times New Roman" w:cs="Times New Roman"/>
                <w:i/>
                <w:i/>
                <w:shd w:fill="FFFFFF" w:val="clear"/>
              </w:rPr>
            </w:pPr>
            <w:r>
              <w:rPr>
                <w:rFonts w:cs="Times New Roman" w:ascii="Times New Roman" w:hAnsi="Times New Roman"/>
                <w:i/>
                <w:shd w:fill="FFFFFF" w:val="clear"/>
              </w:rPr>
            </w:r>
          </w:p>
        </w:tc>
        <w:tc>
          <w:tcPr>
            <w:tcW w:w="4656" w:type="dxa"/>
            <w:tcBorders/>
          </w:tcPr>
          <w:p>
            <w:pPr>
              <w:pStyle w:val="Normal"/>
              <w:jc w:val="center"/>
              <w:rPr>
                <w:rFonts w:ascii="Times New Roman" w:hAnsi="Times New Roman" w:eastAsia="Times New Roman" w:cs="Times New Roman"/>
                <w:b/>
                <w:sz w:val="28"/>
                <w:szCs w:val="28"/>
                <w:shd w:fill="FFFFFF" w:val="clear"/>
                <w:lang w:bidi="ar-SA"/>
              </w:rPr>
            </w:pPr>
            <w:r>
              <w:rPr>
                <w:rFonts w:eastAsia="Times New Roman" w:cs="Times New Roman" w:ascii="Times New Roman" w:hAnsi="Times New Roman"/>
                <w:b/>
                <w:sz w:val="28"/>
                <w:szCs w:val="28"/>
                <w:shd w:fill="FFFFFF" w:val="clear"/>
                <w:lang w:bidi="ar-SA"/>
              </w:rPr>
              <w:t>Лицензиат</w:t>
            </w:r>
          </w:p>
          <w:p>
            <w:pPr>
              <w:pStyle w:val="Normal"/>
              <w:rPr>
                <w:rFonts w:ascii="Times New Roman" w:hAnsi="Times New Roman" w:eastAsia="Times New Roman" w:cs="Times New Roman"/>
                <w:b/>
                <w:sz w:val="28"/>
                <w:szCs w:val="28"/>
                <w:shd w:fill="FFFFFF" w:val="clear"/>
                <w:lang w:bidi="ar-SA"/>
              </w:rPr>
            </w:pPr>
            <w:r>
              <w:rPr>
                <w:rFonts w:eastAsia="Times New Roman" w:cs="Times New Roman" w:ascii="Times New Roman" w:hAnsi="Times New Roman"/>
                <w:b/>
                <w:sz w:val="28"/>
                <w:szCs w:val="28"/>
                <w:shd w:fill="FFFFFF" w:val="clear"/>
                <w:lang w:bidi="ar-SA"/>
              </w:rPr>
            </w:r>
          </w:p>
          <w:p>
            <w:pPr>
              <w:pStyle w:val="Normal"/>
              <w:rPr>
                <w:rFonts w:ascii="Times New Roman" w:hAnsi="Times New Roman" w:cs="Times New Roman"/>
                <w:b/>
                <w:shd w:fill="FFFFFF" w:val="clear"/>
              </w:rPr>
            </w:pPr>
            <w:r>
              <w:rPr>
                <w:rFonts w:cs="Times New Roman" w:ascii="Times New Roman" w:hAnsi="Times New Roman"/>
                <w:b/>
                <w:shd w:fill="FFFFFF" w:val="clear"/>
              </w:rPr>
              <w:t>___________________________________________________________________________________________________</w:t>
            </w:r>
          </w:p>
          <w:p>
            <w:pPr>
              <w:pStyle w:val="Normal"/>
              <w:rPr>
                <w:rFonts w:ascii="Times New Roman" w:hAnsi="Times New Roman" w:cs="Times New Roman"/>
                <w:b/>
                <w:shd w:fill="FFFFFF" w:val="clear"/>
              </w:rPr>
            </w:pPr>
            <w:r>
              <w:rPr>
                <w:rFonts w:cs="Times New Roman" w:ascii="Times New Roman" w:hAnsi="Times New Roman"/>
                <w:b/>
                <w:shd w:fill="FFFFFF" w:val="clear"/>
              </w:rPr>
            </w:r>
          </w:p>
          <w:p>
            <w:pPr>
              <w:pStyle w:val="Normal"/>
              <w:rPr>
                <w:rFonts w:ascii="Times New Roman" w:hAnsi="Times New Roman" w:cs="Times New Roman"/>
                <w:b/>
                <w:shd w:fill="FFFFFF" w:val="clear"/>
              </w:rPr>
            </w:pPr>
            <w:r>
              <w:rPr>
                <w:rFonts w:cs="Times New Roman" w:ascii="Times New Roman" w:hAnsi="Times New Roman"/>
                <w:b/>
                <w:shd w:fill="FFFFFF" w:val="clear"/>
              </w:rPr>
            </w:r>
          </w:p>
          <w:p>
            <w:pPr>
              <w:pStyle w:val="Normal"/>
              <w:rPr>
                <w:rFonts w:ascii="Times New Roman" w:hAnsi="Times New Roman" w:cs="Times New Roman"/>
                <w:b/>
                <w:bCs/>
                <w:shd w:fill="FFFFFF" w:val="clear"/>
              </w:rPr>
            </w:pPr>
            <w:r>
              <w:rPr>
                <w:rFonts w:cs="Times New Roman" w:ascii="Times New Roman" w:hAnsi="Times New Roman"/>
                <w:b/>
                <w:bCs/>
                <w:shd w:fill="FFFFFF" w:val="clear"/>
              </w:rPr>
            </w:r>
          </w:p>
          <w:p>
            <w:pPr>
              <w:pStyle w:val="Normal"/>
              <w:rPr/>
            </w:pPr>
            <w:r>
              <w:rPr>
                <w:rFonts w:cs="Times New Roman" w:ascii="Times New Roman" w:hAnsi="Times New Roman"/>
                <w:b/>
                <w:bCs/>
                <w:shd w:fill="FFFFFF" w:val="clear"/>
              </w:rPr>
              <w:t>Адрес</w:t>
            </w:r>
            <w:r>
              <w:rPr>
                <w:rFonts w:cs="Times New Roman" w:ascii="Times New Roman" w:hAnsi="Times New Roman"/>
                <w:shd w:fill="FFFFFF" w:val="clear"/>
              </w:rPr>
              <w:t>:</w:t>
            </w:r>
            <w:r>
              <w:rPr>
                <w:rFonts w:cs="Times New Roman" w:ascii="Times New Roman" w:hAnsi="Times New Roman"/>
                <w:i/>
                <w:shd w:fill="FFFFFF" w:val="clear"/>
              </w:rPr>
              <w:t>__________________________</w:t>
            </w:r>
          </w:p>
          <w:p>
            <w:pPr>
              <w:pStyle w:val="Normal"/>
              <w:rPr>
                <w:rFonts w:ascii="Times New Roman" w:hAnsi="Times New Roman" w:cs="Times New Roman"/>
                <w:shd w:fill="FFFFFF" w:val="clear"/>
              </w:rPr>
            </w:pPr>
            <w:r>
              <w:rPr>
                <w:rFonts w:cs="Times New Roman" w:ascii="Times New Roman" w:hAnsi="Times New Roman"/>
                <w:i/>
                <w:shd w:fill="FFFFFF" w:val="clear"/>
              </w:rPr>
              <w:t>_____________________________</w:t>
            </w:r>
          </w:p>
          <w:p>
            <w:pPr>
              <w:pStyle w:val="Normal"/>
              <w:rPr>
                <w:rFonts w:ascii="Times New Roman" w:hAnsi="Times New Roman" w:cs="Times New Roman"/>
                <w:shd w:fill="FFFFFF" w:val="clear"/>
              </w:rPr>
            </w:pPr>
            <w:r>
              <w:rPr>
                <w:rFonts w:cs="Times New Roman" w:ascii="Times New Roman" w:hAnsi="Times New Roman"/>
                <w:shd w:fill="FFFFFF" w:val="clear"/>
                <w:lang w:val="en-US"/>
              </w:rPr>
              <w:t>E</w:t>
            </w:r>
            <w:r>
              <w:rPr>
                <w:rFonts w:cs="Times New Roman" w:ascii="Times New Roman" w:hAnsi="Times New Roman"/>
                <w:shd w:fill="FFFFFF" w:val="clear"/>
              </w:rPr>
              <w:t>-</w:t>
            </w:r>
            <w:r>
              <w:rPr>
                <w:rFonts w:cs="Times New Roman" w:ascii="Times New Roman" w:hAnsi="Times New Roman"/>
                <w:shd w:fill="FFFFFF" w:val="clear"/>
                <w:lang w:val="en-US"/>
              </w:rPr>
              <w:t>mail</w:t>
            </w:r>
            <w:r>
              <w:rPr>
                <w:rFonts w:cs="Times New Roman" w:ascii="Times New Roman" w:hAnsi="Times New Roman"/>
                <w:shd w:fill="FFFFFF" w:val="clear"/>
              </w:rPr>
              <w:t>:</w:t>
            </w:r>
          </w:p>
          <w:p>
            <w:pPr>
              <w:pStyle w:val="Normal"/>
              <w:rPr>
                <w:rFonts w:ascii="Times New Roman" w:hAnsi="Times New Roman" w:cs="Times New Roman"/>
                <w:shd w:fill="FFFFFF" w:val="clear"/>
              </w:rPr>
            </w:pPr>
            <w:r>
              <w:rPr>
                <w:rFonts w:cs="Times New Roman" w:ascii="Times New Roman" w:hAnsi="Times New Roman"/>
                <w:shd w:fill="FFFFFF" w:val="clear"/>
              </w:rPr>
              <w:t>Тел.:</w:t>
            </w:r>
          </w:p>
        </w:tc>
      </w:tr>
    </w:tbl>
    <w:p>
      <w:pPr>
        <w:pStyle w:val="Normal"/>
        <w:spacing w:before="0" w:after="0"/>
        <w:contextualSpacing/>
        <w:rPr>
          <w:b/>
          <w:sz w:val="28"/>
          <w:szCs w:val="28"/>
          <w:lang w:bidi="ar-SA"/>
        </w:rPr>
      </w:pPr>
      <w:r>
        <w:rPr>
          <w:rFonts w:cs="Times New Roman" w:ascii="Times New Roman" w:hAnsi="Times New Roman"/>
          <w:sz w:val="28"/>
          <w:szCs w:val="28"/>
        </w:rPr>
      </w:r>
    </w:p>
    <w:p>
      <w:pPr>
        <w:pStyle w:val="Normal"/>
        <w:jc w:val="center"/>
        <w:rPr>
          <w:b/>
          <w:sz w:val="28"/>
          <w:szCs w:val="28"/>
          <w:lang w:bidi="ar-SA"/>
        </w:rPr>
      </w:pPr>
      <w:r>
        <w:rPr>
          <w:rFonts w:eastAsia="Times New Roman" w:cs="Times New Roman" w:ascii="Times New Roman" w:hAnsi="Times New Roman"/>
          <w:b/>
        </w:rPr>
        <w:t>АКТ ПРИЕМА-ПЕРЕДАЧИ СОГЛАСОВАН</w:t>
      </w:r>
    </w:p>
    <w:p>
      <w:pPr>
        <w:pStyle w:val="Normal"/>
        <w:rPr>
          <w:b/>
          <w:sz w:val="28"/>
          <w:szCs w:val="28"/>
          <w:lang w:bidi="ar-SA"/>
        </w:rPr>
      </w:pPr>
      <w:r>
        <w:rPr>
          <w:rFonts w:eastAsia="Times New Roman" w:cs="Times New Roman" w:ascii="Times New Roman" w:hAnsi="Times New Roman"/>
        </w:rPr>
      </w:r>
    </w:p>
    <w:tbl>
      <w:tblPr>
        <w:tblW w:w="5000" w:type="pct"/>
        <w:jc w:val="left"/>
        <w:tblInd w:w="108" w:type="dxa"/>
        <w:tblLayout w:type="fixed"/>
        <w:tblCellMar>
          <w:top w:w="0" w:type="dxa"/>
          <w:left w:w="108" w:type="dxa"/>
          <w:bottom w:w="0" w:type="dxa"/>
          <w:right w:w="108" w:type="dxa"/>
        </w:tblCellMar>
      </w:tblPr>
      <w:tblGrid>
        <w:gridCol w:w="4632"/>
        <w:gridCol w:w="389"/>
        <w:gridCol w:w="4617"/>
      </w:tblGrid>
      <w:tr>
        <w:trPr>
          <w:trHeight w:val="353" w:hRule="atLeast"/>
        </w:trPr>
        <w:tc>
          <w:tcPr>
            <w:tcW w:w="4632" w:type="dxa"/>
            <w:tcBorders/>
          </w:tcPr>
          <w:p>
            <w:pPr>
              <w:pStyle w:val="Normal"/>
              <w:keepNext w:val="true"/>
              <w:snapToGrid w:val="false"/>
              <w:jc w:val="both"/>
              <w:rPr>
                <w:rFonts w:ascii="Times New Roman" w:hAnsi="Times New Roman" w:eastAsia="Times New Roman" w:cs="Times New Roman"/>
                <w:i/>
                <w:i/>
              </w:rPr>
            </w:pPr>
            <w:bookmarkStart w:id="30" w:name="_Hlk204087817"/>
            <w:bookmarkEnd w:id="30"/>
            <w:r>
              <w:rPr>
                <w:rFonts w:eastAsia="Times New Roman" w:cs="Times New Roman" w:ascii="Times New Roman" w:hAnsi="Times New Roman"/>
                <w:b/>
                <w:bCs/>
              </w:rPr>
              <w:t>от Лицензиара:</w:t>
            </w:r>
          </w:p>
          <w:p>
            <w:pPr>
              <w:pStyle w:val="Normal"/>
              <w:keepNext w:val="true"/>
              <w:jc w:val="both"/>
              <w:rPr>
                <w:rFonts w:ascii="Times New Roman" w:hAnsi="Times New Roman" w:eastAsia="Times New Roman" w:cs="Times New Roman"/>
              </w:rPr>
            </w:pPr>
            <w:r>
              <w:rPr>
                <w:rFonts w:eastAsia="Times New Roman" w:cs="Times New Roman" w:ascii="Times New Roman" w:hAnsi="Times New Roman"/>
                <w:i/>
              </w:rPr>
              <w:t>Должность</w:t>
            </w:r>
          </w:p>
          <w:p>
            <w:pPr>
              <w:pStyle w:val="Normal"/>
              <w:keepNext w:val="true"/>
              <w:jc w:val="both"/>
              <w:rPr>
                <w:rFonts w:ascii="Times New Roman" w:hAnsi="Times New Roman" w:eastAsia="Times New Roman" w:cs="Times New Roman"/>
              </w:rPr>
            </w:pPr>
            <w:r>
              <w:rPr>
                <w:rFonts w:eastAsia="Times New Roman" w:cs="Times New Roman" w:ascii="Times New Roman" w:hAnsi="Times New Roman"/>
              </w:rPr>
            </w:r>
          </w:p>
          <w:p>
            <w:pPr>
              <w:pStyle w:val="Normal"/>
              <w:keepNext w:val="true"/>
              <w:jc w:val="both"/>
              <w:rPr>
                <w:rFonts w:ascii="Times New Roman" w:hAnsi="Times New Roman" w:eastAsia="Times New Roman" w:cs="Times New Roman"/>
              </w:rPr>
            </w:pPr>
            <w:r>
              <w:rPr>
                <w:rFonts w:eastAsia="Times New Roman" w:cs="Times New Roman" w:ascii="Times New Roman" w:hAnsi="Times New Roman"/>
              </w:rPr>
            </w:r>
          </w:p>
          <w:p>
            <w:pPr>
              <w:pStyle w:val="Normal"/>
              <w:keepNext w:val="true"/>
              <w:jc w:val="both"/>
              <w:rPr>
                <w:rFonts w:ascii="Times New Roman" w:hAnsi="Times New Roman" w:eastAsia="Times New Roman" w:cs="Times New Roman"/>
              </w:rPr>
            </w:pPr>
            <w:r>
              <w:rPr>
                <w:rFonts w:eastAsia="Times New Roman" w:cs="Times New Roman" w:ascii="Times New Roman" w:hAnsi="Times New Roman"/>
              </w:rPr>
            </w:r>
          </w:p>
          <w:p>
            <w:pPr>
              <w:pStyle w:val="Normal"/>
              <w:keepNext w:val="true"/>
              <w:jc w:val="both"/>
              <w:rPr>
                <w:rFonts w:ascii="Times New Roman" w:hAnsi="Times New Roman" w:cs="Times New Roman"/>
              </w:rPr>
            </w:pPr>
            <w:r>
              <w:rPr>
                <w:rFonts w:eastAsia="Times New Roman" w:cs="Times New Roman" w:ascii="Times New Roman" w:hAnsi="Times New Roman"/>
              </w:rPr>
              <w:t xml:space="preserve">_________________ /____________/ </w:t>
            </w:r>
          </w:p>
          <w:p>
            <w:pPr>
              <w:pStyle w:val="Normal"/>
              <w:keepNext w:val="true"/>
              <w:jc w:val="both"/>
              <w:rPr>
                <w:rFonts w:ascii="Times New Roman" w:hAnsi="Times New Roman" w:cs="Times New Roman"/>
              </w:rPr>
            </w:pPr>
            <w:r>
              <w:rPr>
                <w:rFonts w:cs="Times New Roman" w:ascii="Times New Roman" w:hAnsi="Times New Roman"/>
              </w:rPr>
            </w:r>
          </w:p>
        </w:tc>
        <w:tc>
          <w:tcPr>
            <w:tcW w:w="389" w:type="dxa"/>
            <w:tcBorders/>
          </w:tcPr>
          <w:p>
            <w:pPr>
              <w:pStyle w:val="Normal"/>
              <w:keepNext w:val="true"/>
              <w:snapToGrid w:val="false"/>
              <w:jc w:val="both"/>
              <w:rPr>
                <w:rFonts w:ascii="Times New Roman" w:hAnsi="Times New Roman" w:eastAsia="Times New Roman" w:cs="Times New Roman"/>
                <w:b/>
              </w:rPr>
            </w:pPr>
            <w:r>
              <w:rPr>
                <w:rFonts w:eastAsia="Times New Roman" w:cs="Times New Roman" w:ascii="Times New Roman" w:hAnsi="Times New Roman"/>
                <w:b/>
              </w:rPr>
            </w:r>
          </w:p>
        </w:tc>
        <w:tc>
          <w:tcPr>
            <w:tcW w:w="4617" w:type="dxa"/>
            <w:tcBorders/>
          </w:tcPr>
          <w:p>
            <w:pPr>
              <w:pStyle w:val="Normal"/>
              <w:keepNext w:val="true"/>
              <w:snapToGrid w:val="false"/>
              <w:jc w:val="both"/>
              <w:rPr>
                <w:rFonts w:ascii="Times New Roman" w:hAnsi="Times New Roman" w:eastAsia="Times New Roman" w:cs="Times New Roman"/>
                <w:i/>
                <w:i/>
              </w:rPr>
            </w:pPr>
            <w:r>
              <w:rPr>
                <w:rFonts w:eastAsia="Times New Roman" w:cs="Times New Roman" w:ascii="Times New Roman" w:hAnsi="Times New Roman"/>
                <w:b/>
              </w:rPr>
              <w:t>от Лицензиата:</w:t>
            </w:r>
          </w:p>
          <w:p>
            <w:pPr>
              <w:pStyle w:val="Normal"/>
              <w:keepNext w:val="true"/>
              <w:jc w:val="both"/>
              <w:rPr>
                <w:rFonts w:ascii="Times New Roman" w:hAnsi="Times New Roman" w:eastAsia="Times New Roman" w:cs="Times New Roman"/>
              </w:rPr>
            </w:pPr>
            <w:r>
              <w:rPr>
                <w:rFonts w:eastAsia="Times New Roman" w:cs="Times New Roman" w:ascii="Times New Roman" w:hAnsi="Times New Roman"/>
                <w:i/>
              </w:rPr>
              <w:t>Должность</w:t>
            </w:r>
          </w:p>
          <w:p>
            <w:pPr>
              <w:pStyle w:val="Normal"/>
              <w:keepNext w:val="true"/>
              <w:jc w:val="both"/>
              <w:rPr>
                <w:rFonts w:ascii="Times New Roman" w:hAnsi="Times New Roman" w:eastAsia="Times New Roman" w:cs="Times New Roman"/>
              </w:rPr>
            </w:pPr>
            <w:r>
              <w:rPr>
                <w:rFonts w:eastAsia="Times New Roman" w:cs="Times New Roman" w:ascii="Times New Roman" w:hAnsi="Times New Roman"/>
              </w:rPr>
            </w:r>
          </w:p>
          <w:p>
            <w:pPr>
              <w:pStyle w:val="Normal"/>
              <w:keepNext w:val="true"/>
              <w:jc w:val="both"/>
              <w:rPr>
                <w:rFonts w:ascii="Times New Roman" w:hAnsi="Times New Roman" w:eastAsia="Times New Roman" w:cs="Times New Roman"/>
              </w:rPr>
            </w:pPr>
            <w:r>
              <w:rPr>
                <w:rFonts w:eastAsia="Times New Roman" w:cs="Times New Roman" w:ascii="Times New Roman" w:hAnsi="Times New Roman"/>
              </w:rPr>
            </w:r>
          </w:p>
          <w:p>
            <w:pPr>
              <w:pStyle w:val="Normal"/>
              <w:keepNext w:val="true"/>
              <w:jc w:val="both"/>
              <w:rPr>
                <w:rFonts w:ascii="Times New Roman" w:hAnsi="Times New Roman" w:eastAsia="Times New Roman" w:cs="Times New Roman"/>
              </w:rPr>
            </w:pPr>
            <w:r>
              <w:rPr>
                <w:rFonts w:eastAsia="Times New Roman" w:cs="Times New Roman" w:ascii="Times New Roman" w:hAnsi="Times New Roman"/>
              </w:rPr>
            </w:r>
          </w:p>
          <w:p>
            <w:pPr>
              <w:pStyle w:val="Normal"/>
              <w:keepNext w:val="true"/>
              <w:jc w:val="both"/>
              <w:rPr>
                <w:rFonts w:ascii="Times New Roman" w:hAnsi="Times New Roman" w:cs="Times New Roman"/>
              </w:rPr>
            </w:pPr>
            <w:r>
              <w:rPr>
                <w:rFonts w:eastAsia="Times New Roman" w:cs="Times New Roman" w:ascii="Times New Roman" w:hAnsi="Times New Roman"/>
              </w:rPr>
              <w:t xml:space="preserve">_________________ /____________/ </w:t>
            </w:r>
          </w:p>
          <w:p>
            <w:pPr>
              <w:pStyle w:val="Normal"/>
              <w:keepNext w:val="true"/>
              <w:jc w:val="both"/>
              <w:rPr>
                <w:rFonts w:ascii="Times New Roman" w:hAnsi="Times New Roman" w:cs="Times New Roman"/>
              </w:rPr>
            </w:pPr>
            <w:r>
              <w:rPr>
                <w:rFonts w:cs="Times New Roman" w:ascii="Times New Roman" w:hAnsi="Times New Roman"/>
              </w:rPr>
            </w:r>
          </w:p>
        </w:tc>
      </w:tr>
    </w:tbl>
    <w:p>
      <w:pPr>
        <w:pStyle w:val="Normal"/>
        <w:rPr>
          <w:b/>
          <w:sz w:val="28"/>
          <w:szCs w:val="28"/>
          <w:lang w:bidi="ar-SA"/>
        </w:rPr>
      </w:pPr>
      <w:r>
        <w:rPr>
          <w:rFonts w:eastAsia="Times New Roman" w:cs="Times New Roman" w:ascii="Times New Roman" w:hAnsi="Times New Roman"/>
          <w:b/>
        </w:rPr>
      </w:r>
    </w:p>
    <w:p>
      <w:pPr>
        <w:pStyle w:val="Normal"/>
        <w:spacing w:before="0" w:after="0"/>
        <w:ind w:left="4253" w:hanging="0"/>
        <w:contextualSpacing/>
        <w:jc w:val="center"/>
        <w:rPr>
          <w:b/>
          <w:sz w:val="28"/>
          <w:szCs w:val="28"/>
          <w:lang w:bidi="ar-SA"/>
        </w:rPr>
      </w:pPr>
      <w:r>
        <w:rPr>
          <w:rFonts w:eastAsia="Times New Roman" w:cs="Times New Roman" w:ascii="Times New Roman" w:hAnsi="Times New Roman"/>
          <w:b/>
          <w:sz w:val="28"/>
          <w:szCs w:val="28"/>
        </w:rPr>
      </w:r>
    </w:p>
    <w:p>
      <w:pPr>
        <w:pStyle w:val="Normal"/>
        <w:spacing w:before="0" w:after="0"/>
        <w:ind w:left="4253" w:hanging="0"/>
        <w:contextualSpacing/>
        <w:jc w:val="center"/>
        <w:rPr>
          <w:b/>
          <w:sz w:val="28"/>
          <w:szCs w:val="28"/>
          <w:lang w:bidi="ar-SA"/>
        </w:rPr>
      </w:pPr>
      <w:r>
        <w:rPr>
          <w:rFonts w:eastAsia="Times New Roman" w:cs="Times New Roman" w:ascii="Times New Roman" w:hAnsi="Times New Roman"/>
          <w:b/>
          <w:sz w:val="28"/>
          <w:szCs w:val="28"/>
        </w:rPr>
      </w:r>
    </w:p>
    <w:p>
      <w:pPr>
        <w:pStyle w:val="Normal"/>
        <w:spacing w:before="0" w:after="0"/>
        <w:ind w:left="4253" w:hanging="0"/>
        <w:contextualSpacing/>
        <w:jc w:val="center"/>
        <w:rPr>
          <w:b/>
          <w:sz w:val="28"/>
          <w:szCs w:val="28"/>
          <w:lang w:bidi="ar-SA"/>
        </w:rPr>
      </w:pPr>
      <w:r>
        <w:rPr>
          <w:rFonts w:cs="Times New Roman" w:ascii="Times New Roman" w:hAnsi="Times New Roman"/>
          <w:sz w:val="28"/>
          <w:szCs w:val="28"/>
        </w:rPr>
      </w:r>
    </w:p>
    <w:p>
      <w:pPr>
        <w:pStyle w:val="Normal"/>
        <w:spacing w:before="0" w:after="0"/>
        <w:ind w:left="4253" w:hanging="0"/>
        <w:contextualSpacing/>
        <w:jc w:val="center"/>
        <w:rPr>
          <w:b/>
          <w:sz w:val="28"/>
          <w:szCs w:val="28"/>
          <w:lang w:bidi="ar-SA"/>
        </w:rPr>
      </w:pPr>
      <w:r>
        <w:rPr>
          <w:rFonts w:cs="Times New Roman" w:ascii="Times New Roman" w:hAnsi="Times New Roman"/>
          <w:sz w:val="28"/>
          <w:szCs w:val="28"/>
        </w:rPr>
      </w:r>
    </w:p>
    <w:p>
      <w:pPr>
        <w:pStyle w:val="Normal"/>
        <w:spacing w:before="0" w:after="0"/>
        <w:ind w:left="4253" w:hanging="0"/>
        <w:contextualSpacing/>
        <w:jc w:val="center"/>
        <w:rPr>
          <w:b/>
          <w:sz w:val="28"/>
          <w:szCs w:val="28"/>
          <w:lang w:bidi="ar-SA"/>
        </w:rPr>
      </w:pPr>
      <w:r>
        <w:rPr>
          <w:rFonts w:cs="Times New Roman" w:ascii="Times New Roman" w:hAnsi="Times New Roman"/>
          <w:sz w:val="28"/>
          <w:szCs w:val="28"/>
        </w:rPr>
      </w:r>
    </w:p>
    <w:p>
      <w:pPr>
        <w:pStyle w:val="Normal"/>
        <w:spacing w:before="0" w:after="0"/>
        <w:ind w:left="4253" w:hanging="0"/>
        <w:contextualSpacing/>
        <w:jc w:val="center"/>
        <w:rPr>
          <w:b/>
          <w:sz w:val="28"/>
          <w:szCs w:val="28"/>
          <w:lang w:bidi="ar-SA"/>
        </w:rPr>
      </w:pPr>
      <w:r>
        <w:rPr>
          <w:rFonts w:cs="Times New Roman" w:ascii="Times New Roman" w:hAnsi="Times New Roman"/>
          <w:sz w:val="28"/>
          <w:szCs w:val="28"/>
        </w:rPr>
      </w:r>
    </w:p>
    <w:p>
      <w:pPr>
        <w:pStyle w:val="Normal"/>
        <w:spacing w:before="0" w:after="0"/>
        <w:ind w:left="4253" w:hanging="0"/>
        <w:contextualSpacing/>
        <w:jc w:val="center"/>
        <w:rPr>
          <w:b/>
          <w:sz w:val="28"/>
          <w:szCs w:val="28"/>
          <w:lang w:bidi="ar-SA"/>
        </w:rPr>
      </w:pPr>
      <w:r>
        <w:rPr>
          <w:rFonts w:cs="Times New Roman" w:ascii="Times New Roman" w:hAnsi="Times New Roman"/>
          <w:sz w:val="28"/>
          <w:szCs w:val="28"/>
        </w:rPr>
      </w:r>
    </w:p>
    <w:p>
      <w:pPr>
        <w:pStyle w:val="Normal"/>
        <w:spacing w:before="0" w:after="0"/>
        <w:ind w:left="4253" w:hanging="0"/>
        <w:contextualSpacing/>
        <w:jc w:val="center"/>
        <w:rPr>
          <w:b/>
          <w:sz w:val="28"/>
          <w:szCs w:val="28"/>
          <w:lang w:bidi="ar-SA"/>
        </w:rPr>
      </w:pPr>
      <w:r>
        <w:rPr>
          <w:rFonts w:cs="Times New Roman" w:ascii="Times New Roman" w:hAnsi="Times New Roman"/>
          <w:sz w:val="28"/>
          <w:szCs w:val="28"/>
        </w:rPr>
      </w:r>
    </w:p>
    <w:p>
      <w:pPr>
        <w:pStyle w:val="Normal"/>
        <w:spacing w:before="0" w:after="0"/>
        <w:ind w:left="4253" w:hanging="0"/>
        <w:contextualSpacing/>
        <w:jc w:val="center"/>
        <w:rPr>
          <w:b/>
          <w:sz w:val="28"/>
          <w:szCs w:val="28"/>
          <w:lang w:bidi="ar-SA"/>
        </w:rPr>
      </w:pPr>
      <w:r>
        <w:rPr>
          <w:rFonts w:cs="Times New Roman" w:ascii="Times New Roman" w:hAnsi="Times New Roman"/>
          <w:sz w:val="28"/>
          <w:szCs w:val="28"/>
        </w:rPr>
      </w:r>
    </w:p>
    <w:p>
      <w:pPr>
        <w:pStyle w:val="Normal"/>
        <w:spacing w:before="0" w:after="0"/>
        <w:ind w:left="4253" w:hanging="0"/>
        <w:contextualSpacing/>
        <w:jc w:val="center"/>
        <w:rPr>
          <w:b/>
          <w:sz w:val="28"/>
          <w:szCs w:val="28"/>
          <w:lang w:bidi="ar-SA"/>
        </w:rPr>
      </w:pPr>
      <w:r>
        <w:rPr>
          <w:rFonts w:cs="Times New Roman" w:ascii="Times New Roman" w:hAnsi="Times New Roman"/>
          <w:sz w:val="28"/>
          <w:szCs w:val="28"/>
        </w:rPr>
      </w:r>
    </w:p>
    <w:p>
      <w:pPr>
        <w:pStyle w:val="Normal"/>
        <w:spacing w:before="0" w:after="0"/>
        <w:ind w:left="4253" w:hanging="0"/>
        <w:contextualSpacing/>
        <w:jc w:val="center"/>
        <w:rPr>
          <w:b/>
          <w:sz w:val="28"/>
          <w:szCs w:val="28"/>
          <w:lang w:bidi="ar-SA"/>
        </w:rPr>
      </w:pPr>
      <w:r>
        <w:rPr>
          <w:rFonts w:cs="Times New Roman" w:ascii="Times New Roman" w:hAnsi="Times New Roman"/>
          <w:sz w:val="28"/>
          <w:szCs w:val="28"/>
        </w:rPr>
      </w:r>
    </w:p>
    <w:p>
      <w:pPr>
        <w:pStyle w:val="Normal"/>
        <w:spacing w:before="0" w:after="0"/>
        <w:ind w:left="4253" w:hanging="0"/>
        <w:contextualSpacing/>
        <w:jc w:val="center"/>
        <w:rPr>
          <w:b/>
          <w:sz w:val="28"/>
          <w:szCs w:val="28"/>
          <w:lang w:bidi="ar-SA"/>
        </w:rPr>
      </w:pPr>
      <w:r>
        <w:rPr>
          <w:rFonts w:cs="Times New Roman" w:ascii="Times New Roman" w:hAnsi="Times New Roman"/>
          <w:sz w:val="28"/>
          <w:szCs w:val="28"/>
        </w:rPr>
      </w:r>
    </w:p>
    <w:p>
      <w:pPr>
        <w:pStyle w:val="Normal"/>
        <w:spacing w:before="0" w:after="0"/>
        <w:ind w:left="4253" w:hanging="0"/>
        <w:contextualSpacing/>
        <w:jc w:val="center"/>
        <w:rPr>
          <w:b/>
          <w:sz w:val="28"/>
          <w:szCs w:val="28"/>
          <w:lang w:bidi="ar-SA"/>
        </w:rPr>
      </w:pPr>
      <w:r>
        <w:rPr>
          <w:rFonts w:cs="Times New Roman" w:ascii="Times New Roman" w:hAnsi="Times New Roman"/>
          <w:sz w:val="28"/>
          <w:szCs w:val="28"/>
        </w:rPr>
      </w:r>
    </w:p>
    <w:p>
      <w:pPr>
        <w:pStyle w:val="Normal"/>
        <w:spacing w:before="0" w:after="0"/>
        <w:ind w:left="4253" w:hanging="0"/>
        <w:contextualSpacing/>
        <w:jc w:val="center"/>
        <w:rPr>
          <w:b/>
          <w:sz w:val="28"/>
          <w:szCs w:val="28"/>
          <w:lang w:bidi="ar-SA"/>
        </w:rPr>
      </w:pPr>
      <w:r>
        <w:rPr>
          <w:rFonts w:cs="Times New Roman" w:ascii="Times New Roman" w:hAnsi="Times New Roman"/>
          <w:sz w:val="28"/>
          <w:szCs w:val="28"/>
        </w:rPr>
      </w:r>
    </w:p>
    <w:p>
      <w:pPr>
        <w:pStyle w:val="Normal"/>
        <w:spacing w:before="0" w:after="0"/>
        <w:ind w:left="4253" w:hanging="0"/>
        <w:contextualSpacing/>
        <w:jc w:val="center"/>
        <w:rPr>
          <w:b/>
          <w:sz w:val="28"/>
          <w:szCs w:val="28"/>
          <w:lang w:bidi="ar-SA"/>
        </w:rPr>
      </w:pPr>
      <w:r>
        <w:rPr>
          <w:rFonts w:cs="Times New Roman" w:ascii="Times New Roman" w:hAnsi="Times New Roman"/>
          <w:sz w:val="28"/>
          <w:szCs w:val="28"/>
        </w:rPr>
      </w:r>
    </w:p>
    <w:p>
      <w:pPr>
        <w:pStyle w:val="Normal"/>
        <w:spacing w:before="0" w:after="0"/>
        <w:ind w:left="4253" w:hanging="0"/>
        <w:contextualSpacing/>
        <w:jc w:val="center"/>
        <w:rPr>
          <w:b/>
          <w:sz w:val="28"/>
          <w:szCs w:val="28"/>
          <w:lang w:bidi="ar-SA"/>
        </w:rPr>
      </w:pPr>
      <w:r>
        <w:rPr>
          <w:rFonts w:cs="Times New Roman" w:ascii="Times New Roman" w:hAnsi="Times New Roman"/>
          <w:sz w:val="28"/>
          <w:szCs w:val="28"/>
        </w:rPr>
      </w:r>
    </w:p>
    <w:p>
      <w:pPr>
        <w:pStyle w:val="Normal"/>
        <w:spacing w:before="0" w:after="0"/>
        <w:ind w:left="4253" w:hanging="0"/>
        <w:contextualSpacing/>
        <w:jc w:val="center"/>
        <w:rPr>
          <w:b/>
          <w:sz w:val="28"/>
          <w:szCs w:val="28"/>
          <w:lang w:bidi="ar-SA"/>
        </w:rPr>
      </w:pPr>
      <w:r>
        <w:rPr>
          <w:rFonts w:cs="Times New Roman" w:ascii="Times New Roman" w:hAnsi="Times New Roman"/>
          <w:sz w:val="28"/>
          <w:szCs w:val="28"/>
        </w:rPr>
      </w:r>
    </w:p>
    <w:p>
      <w:pPr>
        <w:pStyle w:val="Normal"/>
        <w:spacing w:before="0" w:after="0"/>
        <w:ind w:left="4253" w:hanging="0"/>
        <w:contextualSpacing/>
        <w:jc w:val="center"/>
        <w:rPr>
          <w:b/>
          <w:sz w:val="28"/>
          <w:szCs w:val="28"/>
          <w:lang w:bidi="ar-SA"/>
        </w:rPr>
      </w:pPr>
      <w:r>
        <w:rPr>
          <w:rFonts w:cs="Times New Roman" w:ascii="Times New Roman" w:hAnsi="Times New Roman"/>
          <w:sz w:val="28"/>
          <w:szCs w:val="28"/>
        </w:rPr>
      </w:r>
    </w:p>
    <w:p>
      <w:pPr>
        <w:pStyle w:val="Normal"/>
        <w:spacing w:before="0" w:after="0"/>
        <w:ind w:left="4253" w:hanging="0"/>
        <w:contextualSpacing/>
        <w:jc w:val="center"/>
        <w:rPr>
          <w:b/>
          <w:sz w:val="28"/>
          <w:szCs w:val="28"/>
          <w:lang w:bidi="ar-SA"/>
        </w:rPr>
      </w:pPr>
      <w:r>
        <w:rPr>
          <w:rFonts w:cs="Times New Roman" w:ascii="Times New Roman" w:hAnsi="Times New Roman"/>
          <w:sz w:val="28"/>
          <w:szCs w:val="28"/>
        </w:rPr>
      </w:r>
    </w:p>
    <w:p>
      <w:pPr>
        <w:pStyle w:val="Normal"/>
        <w:spacing w:before="0" w:after="0"/>
        <w:ind w:left="4253" w:hanging="0"/>
        <w:contextualSpacing/>
        <w:jc w:val="center"/>
        <w:rPr>
          <w:b/>
          <w:sz w:val="28"/>
          <w:szCs w:val="28"/>
          <w:lang w:bidi="ar-SA"/>
        </w:rPr>
      </w:pPr>
      <w:r>
        <w:rPr>
          <w:rFonts w:cs="Times New Roman" w:ascii="Times New Roman" w:hAnsi="Times New Roman"/>
          <w:sz w:val="28"/>
          <w:szCs w:val="28"/>
        </w:rPr>
      </w:r>
    </w:p>
    <w:p>
      <w:pPr>
        <w:sectPr>
          <w:headerReference w:type="default" r:id="rId6"/>
          <w:headerReference w:type="first" r:id="rId7"/>
          <w:footerReference w:type="default" r:id="rId8"/>
          <w:footerReference w:type="first" r:id="rId9"/>
          <w:footnotePr>
            <w:numFmt w:val="decimal"/>
            <w:numRestart w:val="eachSect"/>
          </w:footnotePr>
          <w:type w:val="nextPage"/>
          <w:pgSz w:w="11906" w:h="16838"/>
          <w:pgMar w:left="1134" w:right="1134" w:gutter="0" w:header="567" w:top="1134" w:footer="6" w:bottom="851"/>
          <w:pgNumType w:start="1" w:fmt="decimal"/>
          <w:formProt w:val="false"/>
          <w:titlePg/>
          <w:textDirection w:val="lrTb"/>
          <w:docGrid w:type="default" w:linePitch="360" w:charSpace="0"/>
        </w:sectPr>
      </w:pPr>
    </w:p>
    <w:p>
      <w:pPr>
        <w:pStyle w:val="Normal"/>
        <w:spacing w:before="0" w:after="0"/>
        <w:ind w:left="4253" w:hanging="0"/>
        <w:contextualSpacing/>
        <w:jc w:val="center"/>
        <w:rPr>
          <w:b/>
          <w:sz w:val="28"/>
          <w:szCs w:val="28"/>
          <w:lang w:bidi="ar-SA"/>
        </w:rPr>
      </w:pPr>
      <w:r>
        <w:rPr>
          <w:rFonts w:cs="Times New Roman" w:ascii="Times New Roman" w:hAnsi="Times New Roman"/>
          <w:sz w:val="28"/>
          <w:szCs w:val="28"/>
        </w:rPr>
      </w:r>
    </w:p>
    <w:p>
      <w:pPr>
        <w:pStyle w:val="Normal"/>
        <w:spacing w:before="0" w:after="0"/>
        <w:ind w:left="4253" w:hanging="0"/>
        <w:contextualSpacing/>
        <w:jc w:val="center"/>
        <w:rPr>
          <w:b/>
          <w:sz w:val="28"/>
          <w:szCs w:val="28"/>
          <w:lang w:bidi="ar-SA"/>
        </w:rPr>
      </w:pPr>
      <w:r>
        <w:rPr>
          <w:rFonts w:cs="Times New Roman" w:ascii="Times New Roman" w:hAnsi="Times New Roman"/>
          <w:sz w:val="28"/>
          <w:szCs w:val="28"/>
        </w:rPr>
        <w:t xml:space="preserve">Приложение к акту приема-передачи </w:t>
      </w:r>
    </w:p>
    <w:p>
      <w:pPr>
        <w:pStyle w:val="Normal"/>
        <w:spacing w:before="0" w:after="0"/>
        <w:ind w:left="4253" w:hanging="0"/>
        <w:contextualSpacing/>
        <w:jc w:val="center"/>
        <w:rPr>
          <w:b/>
          <w:sz w:val="28"/>
          <w:szCs w:val="28"/>
          <w:lang w:bidi="ar-SA"/>
        </w:rPr>
      </w:pPr>
      <w:r>
        <w:rPr>
          <w:rFonts w:eastAsia="Times New Roman" w:cs="Times New Roman" w:ascii="Times New Roman" w:hAnsi="Times New Roman"/>
          <w:sz w:val="28"/>
          <w:szCs w:val="28"/>
          <w:lang w:bidi="ar-SA"/>
        </w:rPr>
        <w:t xml:space="preserve">права на использование типового программного обеспечения управления данными от___________№___________ </w:t>
      </w:r>
    </w:p>
    <w:p>
      <w:pPr>
        <w:pStyle w:val="Normal"/>
        <w:spacing w:before="0" w:after="0"/>
        <w:ind w:left="4253" w:hanging="0"/>
        <w:contextualSpacing/>
        <w:jc w:val="center"/>
        <w:rPr>
          <w:b/>
          <w:sz w:val="28"/>
          <w:szCs w:val="28"/>
          <w:lang w:bidi="ar-SA"/>
        </w:rPr>
      </w:pPr>
      <w:r>
        <w:rPr>
          <w:rFonts w:eastAsia="Times New Roman" w:cs="Times New Roman" w:ascii="Times New Roman" w:hAnsi="Times New Roman"/>
          <w:b/>
          <w:sz w:val="28"/>
          <w:szCs w:val="28"/>
          <w:lang w:bidi="ar-SA"/>
        </w:rPr>
      </w:r>
    </w:p>
    <w:p>
      <w:pPr>
        <w:pStyle w:val="Normal"/>
        <w:spacing w:before="0" w:after="0"/>
        <w:ind w:left="4253" w:hanging="0"/>
        <w:contextualSpacing/>
        <w:jc w:val="center"/>
        <w:rPr>
          <w:b/>
          <w:sz w:val="28"/>
          <w:szCs w:val="28"/>
          <w:lang w:bidi="ar-SA"/>
        </w:rPr>
      </w:pPr>
      <w:r>
        <w:rPr>
          <w:rFonts w:eastAsia="Times New Roman" w:cs="Times New Roman" w:ascii="Times New Roman" w:hAnsi="Times New Roman"/>
          <w:b/>
          <w:sz w:val="28"/>
          <w:szCs w:val="28"/>
          <w:lang w:bidi="ar-SA"/>
        </w:rPr>
      </w:r>
    </w:p>
    <w:p>
      <w:pPr>
        <w:pStyle w:val="Normal"/>
        <w:jc w:val="center"/>
        <w:rPr>
          <w:b/>
          <w:sz w:val="28"/>
          <w:szCs w:val="28"/>
          <w:lang w:bidi="ar-SA"/>
        </w:rPr>
      </w:pPr>
      <w:r>
        <w:rPr>
          <w:rFonts w:eastAsia="Times New Roman" w:cs="Times New Roman" w:ascii="Times New Roman" w:hAnsi="Times New Roman"/>
          <w:b/>
          <w:sz w:val="28"/>
          <w:szCs w:val="28"/>
          <w:lang w:bidi="ar-SA"/>
        </w:rPr>
        <w:t>СПЕЦИФИКАЦИЯ</w:t>
      </w:r>
    </w:p>
    <w:p>
      <w:pPr>
        <w:pStyle w:val="Normal"/>
        <w:jc w:val="center"/>
        <w:rPr>
          <w:b/>
          <w:sz w:val="28"/>
          <w:szCs w:val="28"/>
          <w:lang w:bidi="ar-SA"/>
        </w:rPr>
      </w:pPr>
      <w:r>
        <w:rPr>
          <w:rFonts w:cs="Times New Roman" w:ascii="Times New Roman" w:hAnsi="Times New Roman"/>
        </w:rPr>
        <w:t xml:space="preserve">программного обеспечения (ПО) для работы в системе межведомственного электронного взаимодействия (СМЭВ) </w:t>
      </w:r>
    </w:p>
    <w:p>
      <w:pPr>
        <w:pStyle w:val="Normal"/>
        <w:jc w:val="center"/>
        <w:rPr>
          <w:b/>
          <w:sz w:val="28"/>
          <w:szCs w:val="28"/>
          <w:lang w:bidi="ar-SA"/>
        </w:rPr>
      </w:pPr>
      <w:r>
        <w:rPr>
          <w:rFonts w:cs="Times New Roman" w:ascii="Times New Roman" w:hAnsi="Times New Roman"/>
        </w:rPr>
      </w:r>
    </w:p>
    <w:tbl>
      <w:tblPr>
        <w:tblW w:w="9322" w:type="dxa"/>
        <w:jc w:val="center"/>
        <w:tblInd w:w="0" w:type="dxa"/>
        <w:tblLayout w:type="fixed"/>
        <w:tblCellMar>
          <w:top w:w="0" w:type="dxa"/>
          <w:left w:w="108" w:type="dxa"/>
          <w:bottom w:w="0" w:type="dxa"/>
          <w:right w:w="108" w:type="dxa"/>
        </w:tblCellMar>
      </w:tblPr>
      <w:tblGrid>
        <w:gridCol w:w="8100"/>
        <w:gridCol w:w="1222"/>
      </w:tblGrid>
      <w:tr>
        <w:trPr>
          <w:trHeight w:val="567" w:hRule="atLeast"/>
        </w:trPr>
        <w:tc>
          <w:tcPr>
            <w:tcW w:w="8100" w:type="dxa"/>
            <w:tcBorders>
              <w:top w:val="single" w:sz="4" w:space="0" w:color="000000"/>
              <w:left w:val="single" w:sz="4" w:space="0" w:color="000000"/>
              <w:bottom w:val="single" w:sz="4" w:space="0" w:color="000000"/>
              <w:right w:val="single" w:sz="4" w:space="0" w:color="000000"/>
            </w:tcBorders>
            <w:shd w:fill="D9D9D9" w:val="clear"/>
            <w:vAlign w:val="center"/>
          </w:tcPr>
          <w:p>
            <w:pPr>
              <w:pStyle w:val="Normal"/>
              <w:jc w:val="center"/>
              <w:rPr>
                <w:rFonts w:ascii="Times New Roman" w:hAnsi="Times New Roman" w:eastAsia="Times New Roman" w:cs="Times New Roman"/>
                <w:b/>
                <w:bCs/>
                <w:sz w:val="28"/>
                <w:szCs w:val="28"/>
                <w:lang w:bidi="ar-SA"/>
              </w:rPr>
            </w:pPr>
            <w:r>
              <w:rPr>
                <w:rFonts w:eastAsia="Times New Roman" w:cs="Times New Roman" w:ascii="Times New Roman" w:hAnsi="Times New Roman"/>
                <w:b/>
                <w:bCs/>
                <w:sz w:val="28"/>
                <w:szCs w:val="28"/>
                <w:lang w:bidi="ar-SA"/>
              </w:rPr>
              <w:t>Наименование ПО</w:t>
            </w:r>
          </w:p>
        </w:tc>
        <w:tc>
          <w:tcPr>
            <w:tcW w:w="1222" w:type="dxa"/>
            <w:tcBorders>
              <w:top w:val="single" w:sz="4" w:space="0" w:color="000000"/>
              <w:left w:val="single" w:sz="4" w:space="0" w:color="000000"/>
              <w:bottom w:val="single" w:sz="4" w:space="0" w:color="000000"/>
              <w:right w:val="single" w:sz="4" w:space="0" w:color="000000"/>
            </w:tcBorders>
            <w:shd w:fill="D9D9D9" w:val="clear"/>
            <w:vAlign w:val="center"/>
          </w:tcPr>
          <w:p>
            <w:pPr>
              <w:pStyle w:val="Normal"/>
              <w:jc w:val="center"/>
              <w:rPr>
                <w:rFonts w:ascii="Times New Roman" w:hAnsi="Times New Roman" w:eastAsia="Times New Roman" w:cs="Times New Roman"/>
                <w:b/>
                <w:bCs/>
                <w:sz w:val="28"/>
                <w:szCs w:val="28"/>
                <w:lang w:bidi="ar-SA"/>
              </w:rPr>
            </w:pPr>
            <w:r>
              <w:rPr>
                <w:rFonts w:eastAsia="Times New Roman" w:cs="Times New Roman" w:ascii="Times New Roman" w:hAnsi="Times New Roman"/>
                <w:b/>
                <w:bCs/>
                <w:sz w:val="28"/>
                <w:szCs w:val="28"/>
                <w:lang w:bidi="ar-SA"/>
              </w:rPr>
              <w:t>Кол-во, ед.</w:t>
            </w:r>
          </w:p>
        </w:tc>
      </w:tr>
      <w:tr>
        <w:trPr>
          <w:trHeight w:val="692" w:hRule="atLeast"/>
        </w:trPr>
        <w:tc>
          <w:tcPr>
            <w:tcW w:w="8100"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sz w:val="28"/>
                <w:szCs w:val="28"/>
              </w:rPr>
            </w:pPr>
            <w:r>
              <w:rPr>
                <w:rFonts w:cs="Times New Roman" w:ascii="Times New Roman" w:hAnsi="Times New Roman"/>
                <w:sz w:val="28"/>
                <w:szCs w:val="28"/>
              </w:rPr>
              <w:t>Типовое программное обеспечение управления данными (свидетельство о государственной регистрации программы для электронных вычислительных машин № 2025668400, дата государственной регистрации в Реестре программ для электронных вычислительных машин 15 июля 2025 г.).</w:t>
            </w:r>
          </w:p>
        </w:tc>
        <w:tc>
          <w:tcPr>
            <w:tcW w:w="122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Times New Roman" w:hAnsi="Times New Roman" w:cs="Times New Roman"/>
                <w:sz w:val="28"/>
                <w:szCs w:val="28"/>
                <w:lang w:bidi="ar-SA"/>
              </w:rPr>
            </w:pPr>
            <w:r>
              <w:rPr>
                <w:rFonts w:cs="Times New Roman" w:ascii="Times New Roman" w:hAnsi="Times New Roman"/>
                <w:sz w:val="28"/>
                <w:szCs w:val="28"/>
                <w:lang w:bidi="ar-SA"/>
              </w:rPr>
            </w:r>
          </w:p>
        </w:tc>
      </w:tr>
    </w:tbl>
    <w:p>
      <w:pPr>
        <w:pStyle w:val="Normal"/>
        <w:spacing w:before="0" w:after="0"/>
        <w:ind w:left="4253" w:hanging="0"/>
        <w:contextualSpacing/>
        <w:jc w:val="center"/>
        <w:rPr>
          <w:b/>
          <w:sz w:val="28"/>
          <w:szCs w:val="28"/>
          <w:lang w:bidi="ar-SA"/>
        </w:rPr>
      </w:pPr>
      <w:r>
        <w:rPr/>
      </w:r>
    </w:p>
    <w:sectPr>
      <w:footnotePr>
        <w:numFmt w:val="decimal"/>
        <w:numRestart w:val="eachSect"/>
      </w:footnotePr>
      <w:type w:val="continuous"/>
      <w:pgSz w:w="11906" w:h="16838"/>
      <w:pgMar w:left="1134" w:right="1134" w:gutter="0" w:header="567" w:top="1134" w:footer="6" w:bottom="851"/>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Arial Unicode MS">
    <w:charset w:val="80"/>
    <w:family w:val="swiss"/>
    <w:pitch w:val="variable"/>
  </w:font>
  <w:font w:name="Times New Roman">
    <w:charset w:val="cc"/>
    <w:family w:val="roman"/>
    <w:pitch w:val="variable"/>
  </w:font>
  <w:font w:name="Segoe UI">
    <w:charset w:val="cc"/>
    <w:family w:val="swiss"/>
    <w:pitch w:val="variable"/>
  </w:font>
  <w:font w:name="Liberation Sans">
    <w:altName w:val="Arial"/>
    <w:charset w:val="cc"/>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8"/>
        <w:tab w:val="center" w:pos="4677" w:leader="none"/>
        <w:tab w:val="right" w:pos="9355" w:leader="none"/>
      </w:tabs>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center" w:pos="4677" w:leader="none"/>
        <w:tab w:val="right" w:pos="9355" w:leader="none"/>
      </w:tabs>
      <w:rPr>
        <w:rFonts w:ascii="Times New Roman" w:hAnsi="Times New Roman" w:cs="Times New Roman"/>
        <w:sz w:val="28"/>
        <w:szCs w:val="28"/>
      </w:rPr>
    </w:pPr>
    <w:r>
      <w:rPr>
        <w:rFonts w:cs="Times New Roman" w:ascii="Times New Roman" w:hAnsi="Times New Roman"/>
        <w:sz w:val="28"/>
        <w:szCs w:val="28"/>
      </w:rPr>
    </w:r>
  </w:p>
  <w:p>
    <w:pPr>
      <w:pStyle w:val="Style41"/>
      <w:rPr>
        <w:rFonts w:ascii="Times New Roman" w:hAnsi="Times New Roman" w:cs="Times New Roman"/>
        <w:sz w:val="28"/>
        <w:szCs w:val="28"/>
      </w:rPr>
    </w:pPr>
    <w:r>
      <w:rPr>
        <w:rFonts w:cs="Times New Roman" w:ascii="Times New Roman" w:hAnsi="Times New Roman"/>
        <w:sz w:val="28"/>
        <w:szCs w:val="28"/>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41"/>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8"/>
        <w:tab w:val="center" w:pos="4677" w:leader="none"/>
        <w:tab w:val="right" w:pos="9355" w:leader="none"/>
      </w:tabs>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center" w:pos="4677" w:leader="none"/>
        <w:tab w:val="right" w:pos="9355" w:leader="none"/>
      </w:tabs>
      <w:rPr>
        <w:rFonts w:ascii="Times New Roman" w:hAnsi="Times New Roman" w:cs="Times New Roman"/>
        <w:sz w:val="28"/>
        <w:szCs w:val="28"/>
      </w:rPr>
    </w:pPr>
    <w:r>
      <w:rPr>
        <w:rFonts w:cs="Times New Roman" w:ascii="Times New Roman" w:hAnsi="Times New Roman"/>
        <w:sz w:val="28"/>
        <w:szCs w:val="28"/>
      </w:rPr>
    </w:r>
  </w:p>
  <w:p>
    <w:pPr>
      <w:pStyle w:val="Style41"/>
      <w:rPr>
        <w:rFonts w:ascii="Times New Roman" w:hAnsi="Times New Roman" w:cs="Times New Roman"/>
        <w:sz w:val="28"/>
        <w:szCs w:val="28"/>
      </w:rPr>
    </w:pPr>
    <w:r>
      <w:rPr>
        <w:rFonts w:cs="Times New Roman" w:ascii="Times New Roman" w:hAnsi="Times New Roman"/>
        <w:sz w:val="28"/>
        <w:szCs w:val="28"/>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Style47"/>
        <w:jc w:val="both"/>
        <w:rPr/>
      </w:pPr>
      <w:r>
        <w:rPr>
          <w:rStyle w:val="Style23"/>
        </w:rPr>
        <w:footnoteRef/>
      </w:r>
      <w:r>
        <w:rPr>
          <w:rFonts w:cs="Times New Roman" w:ascii="Times New Roman" w:hAnsi="Times New Roman"/>
        </w:rPr>
        <w:t xml:space="preserve"> </w:t>
      </w:r>
      <w:r>
        <w:rPr>
          <w:rFonts w:cs="Times New Roman" w:ascii="Times New Roman" w:hAnsi="Times New Roman"/>
        </w:rPr>
        <w:t xml:space="preserve">Лицензиат, подключенный к СМЭВ в соответствии с пунктом 10 Положения о единой системе межведомственного электронного взаимодействия, утвержденного постановлением Правительства </w:t>
        <w:br/>
        <w:t xml:space="preserve">Российской Федерации от 8 сентября 2010 г. № 697 «О единой системе межведомственного электронного взаимодействия». Пользователями ТПО УД могут быть лишь пользователи, одновременно подпадающие под категорию участников, которым предоставляется право подключения к системам СМЭВ и НСУД. </w:t>
        <w:br/>
        <w:t>Если пользователем является подведомственная организация, то лицензионный договор заключается Лицензиатом, в интересах которого осуществляет деятельность подведомственная организация, а затем подведомственная организация заключает сублицензионный договор с Лицензиатом, о чем уведомляет Лицензиара.</w:t>
      </w:r>
    </w:p>
  </w:footnote>
  <w:footnote w:id="3">
    <w:p>
      <w:pPr>
        <w:pStyle w:val="Style47"/>
        <w:jc w:val="both"/>
        <w:rPr/>
      </w:pPr>
      <w:r>
        <w:rPr>
          <w:rStyle w:val="Style23"/>
        </w:rPr>
        <w:footnoteRef/>
      </w:r>
      <w:r>
        <w:rPr>
          <w:rFonts w:cs="Times New Roman" w:ascii="Times New Roman" w:hAnsi="Times New Roman"/>
        </w:rPr>
        <w:t xml:space="preserve"> </w:t>
      </w:r>
      <w:r>
        <w:rPr>
          <w:rFonts w:cs="Times New Roman" w:ascii="Times New Roman" w:hAnsi="Times New Roman"/>
        </w:rPr>
        <w:t>Указывается подпункт пункта 10 Положения о СМЭВ, на основании которого Лицензиар осуществляет подключение.</w:t>
      </w:r>
    </w:p>
  </w:footnote>
  <w:footnote w:id="4">
    <w:p>
      <w:pPr>
        <w:pStyle w:val="Style47"/>
        <w:jc w:val="both"/>
        <w:rPr/>
      </w:pPr>
      <w:r>
        <w:rPr>
          <w:rStyle w:val="Style23"/>
        </w:rPr>
        <w:footnoteRef/>
      </w:r>
      <w:r>
        <w:rPr>
          <w:rFonts w:cs="Times New Roman" w:ascii="Times New Roman" w:hAnsi="Times New Roman"/>
        </w:rPr>
        <w:t xml:space="preserve"> </w:t>
      </w:r>
      <w:r>
        <w:rPr>
          <w:rFonts w:cs="Times New Roman" w:ascii="Times New Roman" w:hAnsi="Times New Roman"/>
        </w:rPr>
        <w:t>Заполняется, если основанием служил подпункт «в» пункта 10 Положения о СМЭВ. Указываются соответствующие федеральные законы, акты Президента Российской Федерации, акты Правительства Российской Федерации или решения президиума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w:t>
      </w:r>
    </w:p>
  </w:footnote>
  <w:footnote w:id="5">
    <w:p>
      <w:pPr>
        <w:pStyle w:val="Style47"/>
        <w:rPr/>
      </w:pPr>
      <w:r>
        <w:rPr>
          <w:rStyle w:val="Style23"/>
        </w:rPr>
        <w:footnoteRef/>
      </w:r>
      <w:r>
        <w:rPr>
          <w:rFonts w:cs="Times New Roman" w:ascii="Times New Roman" w:hAnsi="Times New Roman"/>
        </w:rPr>
        <w:t xml:space="preserve"> </w:t>
      </w:r>
      <w:r>
        <w:rPr>
          <w:rFonts w:cs="Times New Roman" w:ascii="Times New Roman" w:hAnsi="Times New Roman"/>
        </w:rPr>
        <w:t>Ссылка на сайт Лицензиара в информационно-телекоммуникационной сети «Интернет» для копирования ТПО УД предоставляется в порядке, дополнительно согласуемом Сторонами.</w:t>
      </w:r>
    </w:p>
  </w:footnote>
  <w:footnote w:id="6">
    <w:p>
      <w:pPr>
        <w:pStyle w:val="Style47"/>
        <w:jc w:val="both"/>
        <w:rPr/>
      </w:pPr>
      <w:r>
        <w:rPr>
          <w:rStyle w:val="Style23"/>
        </w:rPr>
        <w:footnoteRef/>
      </w:r>
      <w:r>
        <w:rPr>
          <w:rFonts w:cs="Times New Roman" w:ascii="Times New Roman" w:hAnsi="Times New Roman"/>
        </w:rPr>
        <w:t xml:space="preserve"> </w:t>
      </w:r>
      <w:r>
        <w:rPr>
          <w:rFonts w:cs="Times New Roman" w:ascii="Times New Roman" w:hAnsi="Times New Roman"/>
        </w:rPr>
        <w:t>В зависимости от организационно-правовой формы Лицензиата выбирается один из трех нижеследующих вариантов.</w:t>
      </w:r>
    </w:p>
  </w:footnote>
  <w:footnote w:id="7">
    <w:p>
      <w:pPr>
        <w:pStyle w:val="Style47"/>
        <w:jc w:val="both"/>
        <w:rPr/>
      </w:pPr>
      <w:r>
        <w:rPr>
          <w:rStyle w:val="Style23"/>
        </w:rPr>
        <w:footnoteRef/>
      </w:r>
      <w:r>
        <w:rPr>
          <w:rFonts w:cs="Times New Roman" w:ascii="Times New Roman" w:hAnsi="Times New Roman"/>
        </w:rPr>
        <w:t>Указывается актуальная ссылка на Руководство пользователя типового программного обеспечения управления данными в информационно-телекоммуникационной сети «Интернет».</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40"/>
      <w:jc w:val="center"/>
      <w:rPr>
        <w:rFonts w:ascii="Times New Roman" w:hAnsi="Times New Roman" w:cs="Times New Roman"/>
        <w:sz w:val="28"/>
        <w:szCs w:val="28"/>
      </w:rPr>
    </w:pPr>
    <w:r>
      <w:rPr>
        <w:rFonts w:cs="Times New Roman" w:ascii="Times New Roman" w:hAnsi="Times New Roman"/>
        <w:sz w:val="28"/>
        <w:szCs w:val="28"/>
      </w:rPr>
      <w:fldChar w:fldCharType="begin"/>
    </w:r>
    <w:r>
      <w:rPr>
        <w:sz w:val="28"/>
        <w:szCs w:val="28"/>
        <w:rFonts w:cs="Times New Roman" w:ascii="Times New Roman" w:hAnsi="Times New Roman"/>
      </w:rPr>
      <w:instrText xml:space="preserve"> PAGE </w:instrText>
    </w:r>
    <w:r>
      <w:rPr>
        <w:sz w:val="28"/>
        <w:szCs w:val="28"/>
        <w:rFonts w:cs="Times New Roman" w:ascii="Times New Roman" w:hAnsi="Times New Roman"/>
      </w:rPr>
      <w:fldChar w:fldCharType="separate"/>
    </w:r>
    <w:r>
      <w:rPr>
        <w:sz w:val="28"/>
        <w:szCs w:val="28"/>
        <w:rFonts w:cs="Times New Roman" w:ascii="Times New Roman" w:hAnsi="Times New Roman"/>
      </w:rPr>
      <w:t>11</w:t>
    </w:r>
    <w:r>
      <w:rPr>
        <w:sz w:val="28"/>
        <w:szCs w:val="28"/>
        <w:rFonts w:cs="Times New Roman" w:ascii="Times New Roman" w:hAnsi="Times New Roman"/>
      </w:rPr>
      <w:fldChar w:fldCharType="end"/>
    </w:r>
  </w:p>
  <w:p>
    <w:pPr>
      <w:pStyle w:val="Style40"/>
      <w:jc w:val="center"/>
      <w:rPr>
        <w:rFonts w:ascii="Times New Roman" w:hAnsi="Times New Roman" w:cs="Times New Roman"/>
        <w:sz w:val="28"/>
        <w:szCs w:val="28"/>
      </w:rPr>
    </w:pPr>
    <w:r>
      <w:rPr>
        <w:rFonts w:cs="Times New Roman" w:ascii="Times New Roman" w:hAnsi="Times New Roman"/>
        <w:sz w:val="28"/>
        <w:szCs w:val="28"/>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40"/>
      <w:jc w:val="center"/>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sz w:val="28"/>
        <w:szCs w:val="28"/>
      </w:rPr>
    </w:pPr>
    <w:r>
      <w:rPr>
        <w:rFonts w:cs="Times New Roman" w:ascii="Times New Roman" w:hAnsi="Times New Roman"/>
        <w:sz w:val="28"/>
        <w:szCs w:val="28"/>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40"/>
      <w:jc w:val="center"/>
      <w:rPr>
        <w:rFonts w:ascii="Times New Roman" w:hAnsi="Times New Roman" w:cs="Times New Roman"/>
        <w:sz w:val="28"/>
        <w:szCs w:val="28"/>
      </w:rPr>
    </w:pPr>
    <w:r>
      <w:rPr>
        <w:rFonts w:cs="Times New Roman" w:ascii="Times New Roman" w:hAnsi="Times New Roman"/>
        <w:sz w:val="28"/>
        <w:szCs w:val="28"/>
      </w:rPr>
      <w:fldChar w:fldCharType="begin"/>
    </w:r>
    <w:r>
      <w:rPr>
        <w:sz w:val="28"/>
        <w:szCs w:val="28"/>
        <w:rFonts w:cs="Times New Roman" w:ascii="Times New Roman" w:hAnsi="Times New Roman"/>
      </w:rPr>
      <w:instrText xml:space="preserve"> PAGE </w:instrText>
    </w:r>
    <w:r>
      <w:rPr>
        <w:sz w:val="28"/>
        <w:szCs w:val="28"/>
        <w:rFonts w:cs="Times New Roman" w:ascii="Times New Roman" w:hAnsi="Times New Roman"/>
      </w:rPr>
      <w:fldChar w:fldCharType="separate"/>
    </w:r>
    <w:r>
      <w:rPr>
        <w:sz w:val="28"/>
        <w:szCs w:val="28"/>
        <w:rFonts w:cs="Times New Roman" w:ascii="Times New Roman" w:hAnsi="Times New Roman"/>
      </w:rPr>
      <w:t>3</w:t>
    </w:r>
    <w:r>
      <w:rPr>
        <w:sz w:val="28"/>
        <w:szCs w:val="28"/>
        <w:rFonts w:cs="Times New Roman" w:ascii="Times New Roman" w:hAnsi="Times New Roman"/>
      </w:rPr>
      <w:fldChar w:fldCharType="end"/>
    </w:r>
  </w:p>
  <w:p>
    <w:pPr>
      <w:pStyle w:val="Style40"/>
      <w:jc w:val="center"/>
      <w:rPr>
        <w:rFonts w:ascii="Times New Roman" w:hAnsi="Times New Roman" w:cs="Times New Roman"/>
        <w:sz w:val="28"/>
        <w:szCs w:val="28"/>
      </w:rPr>
    </w:pPr>
    <w:r>
      <w:rPr>
        <w:rFonts w:cs="Times New Roman" w:ascii="Times New Roman" w:hAnsi="Times New Roman"/>
        <w:sz w:val="28"/>
        <w:szCs w:val="28"/>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40"/>
      <w:jc w:val="right"/>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suff w:val="space"/>
      <w:lvlText w:val="%1."/>
      <w:lvlJc w:val="left"/>
      <w:pPr>
        <w:tabs>
          <w:tab w:val="num" w:pos="0"/>
        </w:tabs>
        <w:ind w:left="720" w:hanging="360"/>
      </w:pPr>
      <w:rPr>
        <w:sz w:val="28"/>
        <w:b w:val="false"/>
        <w:szCs w:val="28"/>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50"/>
  <w:displayBackgroundShape/>
  <w:revisionView w:insDel="0" w:formatting="0"/>
  <w:defaultTabStop w:val="708"/>
  <w:autoHyphenation w:val="true"/>
  <w:footnotePr>
    <w:numFmt w:val="decimal"/>
    <w:numRestart w:val="eachSect"/>
    <w:footnote w:id="0"/>
    <w:footnote w:id="1"/>
  </w:footnotePr>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pPr>
    <w:rPr>
      <w:rFonts w:ascii="Arial Unicode MS" w:hAnsi="Arial Unicode MS" w:eastAsia="Arial Unicode MS" w:cs="Arial Unicode MS"/>
      <w:color w:val="000000"/>
      <w:sz w:val="24"/>
      <w:szCs w:val="24"/>
      <w:lang w:val="ru-RU" w:eastAsia="zh-CN" w:bidi="ru-RU"/>
    </w:rPr>
  </w:style>
  <w:style w:type="character" w:styleId="WW8Num1z0">
    <w:name w:val="WW8Num1z0"/>
    <w:qFormat/>
    <w:rPr>
      <w:b w:val="false"/>
      <w:color w:val="000000"/>
      <w:sz w:val="28"/>
      <w:szCs w:val="28"/>
    </w:rPr>
  </w:style>
  <w:style w:type="character" w:styleId="Style14">
    <w:name w:val="Основной шрифт абзаца"/>
    <w:qFormat/>
    <w:rPr/>
  </w:style>
  <w:style w:type="character" w:styleId="WW8Num2z0">
    <w:name w:val="WW8Num2z0"/>
    <w:qFormat/>
    <w:rPr>
      <w:b w:val="false"/>
      <w:color w:val="000000"/>
      <w:sz w:val="28"/>
      <w:szCs w:val="28"/>
    </w:rPr>
  </w:style>
  <w:style w:type="character" w:styleId="1">
    <w:name w:val="Основной шрифт абзаца1"/>
    <w:qFormat/>
    <w:rPr/>
  </w:style>
  <w:style w:type="character" w:styleId="-">
    <w:name w:val="Hyperlink"/>
    <w:rPr>
      <w:color w:val="0066CC"/>
      <w:u w:val="single"/>
    </w:rPr>
  </w:style>
  <w:style w:type="character" w:styleId="3">
    <w:name w:val="Основной текст (3)_"/>
    <w:qFormat/>
    <w:rPr>
      <w:rFonts w:ascii="Times New Roman" w:hAnsi="Times New Roman" w:eastAsia="Times New Roman" w:cs="Times New Roman"/>
      <w:b/>
      <w:bCs/>
      <w:i w:val="false"/>
      <w:iCs w:val="false"/>
      <w:caps w:val="false"/>
      <w:smallCaps w:val="false"/>
      <w:strike w:val="false"/>
      <w:dstrike w:val="false"/>
      <w:u w:val="none"/>
    </w:rPr>
  </w:style>
  <w:style w:type="character" w:styleId="2">
    <w:name w:val="Основной текст (2)_"/>
    <w:qFormat/>
    <w:rPr>
      <w:rFonts w:ascii="Times New Roman" w:hAnsi="Times New Roman" w:eastAsia="Times New Roman" w:cs="Times New Roman"/>
      <w:b w:val="false"/>
      <w:bCs w:val="false"/>
      <w:i w:val="false"/>
      <w:iCs w:val="false"/>
      <w:caps w:val="false"/>
      <w:smallCaps w:val="false"/>
      <w:strike w:val="false"/>
      <w:dstrike w:val="false"/>
      <w:u w:val="none"/>
    </w:rPr>
  </w:style>
  <w:style w:type="character" w:styleId="Style15">
    <w:name w:val="Колонтитул_"/>
    <w:qFormat/>
    <w:rPr>
      <w:rFonts w:ascii="Times New Roman" w:hAnsi="Times New Roman" w:eastAsia="Times New Roman" w:cs="Times New Roman"/>
      <w:b/>
      <w:bCs/>
      <w:i w:val="false"/>
      <w:iCs w:val="false"/>
      <w:caps w:val="false"/>
      <w:smallCaps w:val="false"/>
      <w:strike w:val="false"/>
      <w:dstrike w:val="false"/>
      <w:spacing w:val="10"/>
      <w:sz w:val="22"/>
      <w:szCs w:val="22"/>
      <w:u w:val="none"/>
    </w:rPr>
  </w:style>
  <w:style w:type="character" w:styleId="14pt0pt">
    <w:name w:val="Колонтитул + 14 pt;Не полужирный;Интервал 0 pt"/>
    <w:qFormat/>
    <w:rPr>
      <w:rFonts w:ascii="Times New Roman" w:hAnsi="Times New Roman" w:eastAsia="Times New Roman" w:cs="Times New Roman"/>
      <w:b/>
      <w:bCs/>
      <w:i w:val="false"/>
      <w:iCs w:val="false"/>
      <w:caps w:val="false"/>
      <w:smallCaps w:val="false"/>
      <w:strike w:val="false"/>
      <w:dstrike w:val="false"/>
      <w:color w:val="000000"/>
      <w:spacing w:val="0"/>
      <w:w w:val="100"/>
      <w:sz w:val="28"/>
      <w:szCs w:val="28"/>
      <w:u w:val="none"/>
      <w:lang w:val="ru-RU" w:bidi="ru-RU"/>
    </w:rPr>
  </w:style>
  <w:style w:type="character" w:styleId="11">
    <w:name w:val="Заголовок №1_"/>
    <w:qFormat/>
    <w:rPr>
      <w:rFonts w:ascii="Times New Roman" w:hAnsi="Times New Roman" w:eastAsia="Times New Roman" w:cs="Times New Roman"/>
      <w:b/>
      <w:bCs/>
      <w:i w:val="false"/>
      <w:iCs w:val="false"/>
      <w:caps w:val="false"/>
      <w:smallCaps w:val="false"/>
      <w:strike w:val="false"/>
      <w:dstrike w:val="false"/>
      <w:u w:val="none"/>
    </w:rPr>
  </w:style>
  <w:style w:type="character" w:styleId="2Exact">
    <w:name w:val="Основной текст (2) Exact"/>
    <w:qFormat/>
    <w:rPr>
      <w:rFonts w:ascii="Times New Roman" w:hAnsi="Times New Roman" w:eastAsia="Times New Roman" w:cs="Times New Roman"/>
      <w:b w:val="false"/>
      <w:bCs w:val="false"/>
      <w:i w:val="false"/>
      <w:iCs w:val="false"/>
      <w:caps w:val="false"/>
      <w:smallCaps w:val="false"/>
      <w:strike w:val="false"/>
      <w:dstrike w:val="false"/>
      <w:u w:val="none"/>
    </w:rPr>
  </w:style>
  <w:style w:type="character" w:styleId="3Exact">
    <w:name w:val="Основной текст (3) Exact"/>
    <w:qFormat/>
    <w:rPr>
      <w:rFonts w:ascii="Times New Roman" w:hAnsi="Times New Roman" w:eastAsia="Times New Roman" w:cs="Times New Roman"/>
      <w:b/>
      <w:bCs/>
      <w:i w:val="false"/>
      <w:iCs w:val="false"/>
      <w:caps w:val="false"/>
      <w:smallCaps w:val="false"/>
      <w:strike w:val="false"/>
      <w:dstrike w:val="false"/>
      <w:u w:val="none"/>
    </w:rPr>
  </w:style>
  <w:style w:type="character" w:styleId="Style16">
    <w:name w:val="Колонтитул"/>
    <w:qFormat/>
    <w:rPr>
      <w:rFonts w:ascii="Times New Roman" w:hAnsi="Times New Roman" w:eastAsia="Times New Roman" w:cs="Times New Roman"/>
      <w:b/>
      <w:bCs/>
      <w:i w:val="false"/>
      <w:iCs w:val="false"/>
      <w:caps w:val="false"/>
      <w:smallCaps w:val="false"/>
      <w:strike w:val="false"/>
      <w:dstrike w:val="false"/>
      <w:color w:val="000000"/>
      <w:spacing w:val="10"/>
      <w:w w:val="100"/>
      <w:sz w:val="22"/>
      <w:szCs w:val="22"/>
      <w:u w:val="none"/>
      <w:lang w:val="ru-RU" w:bidi="ru-RU"/>
    </w:rPr>
  </w:style>
  <w:style w:type="character" w:styleId="4">
    <w:name w:val="Основной текст (4)_"/>
    <w:qFormat/>
    <w:rPr>
      <w:rFonts w:ascii="Times New Roman" w:hAnsi="Times New Roman" w:eastAsia="Times New Roman" w:cs="Times New Roman"/>
      <w:b w:val="false"/>
      <w:bCs w:val="false"/>
      <w:i/>
      <w:iCs/>
      <w:caps w:val="false"/>
      <w:smallCaps w:val="false"/>
      <w:strike w:val="false"/>
      <w:dstrike w:val="false"/>
      <w:u w:val="none"/>
    </w:rPr>
  </w:style>
  <w:style w:type="character" w:styleId="31">
    <w:name w:val="Основной текст (3) + Малые прописные"/>
    <w:qFormat/>
    <w:rPr>
      <w:rFonts w:ascii="Times New Roman" w:hAnsi="Times New Roman" w:eastAsia="Times New Roman" w:cs="Times New Roman"/>
      <w:b/>
      <w:bCs/>
      <w:i w:val="false"/>
      <w:iCs w:val="false"/>
      <w:smallCaps/>
      <w:strike w:val="false"/>
      <w:dstrike w:val="false"/>
      <w:color w:val="000000"/>
      <w:spacing w:val="0"/>
      <w:w w:val="100"/>
      <w:sz w:val="24"/>
      <w:szCs w:val="24"/>
      <w:u w:val="none"/>
      <w:lang w:val="ru-RU" w:bidi="ru-RU"/>
    </w:rPr>
  </w:style>
  <w:style w:type="character" w:styleId="210pt">
    <w:name w:val="Основной текст (2) + 10 pt;Полужирный"/>
    <w:qFormat/>
    <w:rPr>
      <w:rFonts w:ascii="Times New Roman" w:hAnsi="Times New Roman" w:eastAsia="Times New Roman" w:cs="Times New Roman"/>
      <w:b/>
      <w:bCs/>
      <w:i w:val="false"/>
      <w:iCs w:val="false"/>
      <w:caps w:val="false"/>
      <w:smallCaps w:val="false"/>
      <w:strike w:val="false"/>
      <w:dstrike w:val="false"/>
      <w:color w:val="000000"/>
      <w:spacing w:val="0"/>
      <w:w w:val="100"/>
      <w:sz w:val="20"/>
      <w:szCs w:val="20"/>
      <w:u w:val="none"/>
      <w:lang w:val="ru-RU" w:bidi="ru-RU"/>
    </w:rPr>
  </w:style>
  <w:style w:type="character" w:styleId="Style17">
    <w:name w:val="Верхний колонтитул Знак"/>
    <w:qFormat/>
    <w:rPr>
      <w:color w:val="000000"/>
    </w:rPr>
  </w:style>
  <w:style w:type="character" w:styleId="Style18">
    <w:name w:val="Нижний колонтитул Знак"/>
    <w:qFormat/>
    <w:rPr>
      <w:color w:val="000000"/>
    </w:rPr>
  </w:style>
  <w:style w:type="character" w:styleId="12">
    <w:name w:val="Знак примечания1"/>
    <w:qFormat/>
    <w:rPr>
      <w:sz w:val="16"/>
      <w:szCs w:val="16"/>
    </w:rPr>
  </w:style>
  <w:style w:type="character" w:styleId="Style19">
    <w:name w:val="Текст примечания Знак"/>
    <w:qFormat/>
    <w:rPr>
      <w:color w:val="000000"/>
      <w:sz w:val="20"/>
      <w:szCs w:val="20"/>
    </w:rPr>
  </w:style>
  <w:style w:type="character" w:styleId="Style20">
    <w:name w:val="Тема примечания Знак"/>
    <w:qFormat/>
    <w:rPr>
      <w:b/>
      <w:bCs/>
      <w:color w:val="000000"/>
      <w:sz w:val="20"/>
      <w:szCs w:val="20"/>
    </w:rPr>
  </w:style>
  <w:style w:type="character" w:styleId="Style21">
    <w:name w:val="Текст выноски Знак"/>
    <w:qFormat/>
    <w:rPr>
      <w:rFonts w:ascii="Segoe UI" w:hAnsi="Segoe UI" w:cs="Segoe UI"/>
      <w:color w:val="000000"/>
      <w:sz w:val="18"/>
      <w:szCs w:val="18"/>
    </w:rPr>
  </w:style>
  <w:style w:type="character" w:styleId="13">
    <w:name w:val="Неразрешенное упоминание1"/>
    <w:qFormat/>
    <w:rPr>
      <w:color w:val="605E5C"/>
      <w:shd w:fill="E1DFDD" w:val="clear"/>
    </w:rPr>
  </w:style>
  <w:style w:type="character" w:styleId="21">
    <w:name w:val="Неразрешенное упоминание2"/>
    <w:qFormat/>
    <w:rPr>
      <w:color w:val="605E5C"/>
      <w:shd w:fill="E1DFDD" w:val="clear"/>
    </w:rPr>
  </w:style>
  <w:style w:type="character" w:styleId="Style22">
    <w:name w:val="Текст сноски Знак"/>
    <w:qFormat/>
    <w:rPr>
      <w:color w:val="000000"/>
      <w:lang w:bidi="ru-RU"/>
    </w:rPr>
  </w:style>
  <w:style w:type="character" w:styleId="Style23">
    <w:name w:val="Символ сноски"/>
    <w:qFormat/>
    <w:rPr>
      <w:vertAlign w:val="superscript"/>
    </w:rPr>
  </w:style>
  <w:style w:type="character" w:styleId="14">
    <w:name w:val="Знак сноски1"/>
    <w:qFormat/>
    <w:rPr>
      <w:vertAlign w:val="superscript"/>
    </w:rPr>
  </w:style>
  <w:style w:type="character" w:styleId="32">
    <w:name w:val="Неразрешенное упоминание3"/>
    <w:qFormat/>
    <w:rPr>
      <w:color w:val="605E5C"/>
      <w:shd w:fill="E1DFDD" w:val="clear"/>
    </w:rPr>
  </w:style>
  <w:style w:type="character" w:styleId="41">
    <w:name w:val="Неразрешенное упоминание4"/>
    <w:qFormat/>
    <w:rPr>
      <w:color w:val="605E5C"/>
      <w:shd w:fill="E1DFDD" w:val="clear"/>
    </w:rPr>
  </w:style>
  <w:style w:type="character" w:styleId="Style24">
    <w:name w:val="FollowedHyperlink"/>
    <w:rPr>
      <w:color w:val="954F72"/>
      <w:u w:val="single"/>
    </w:rPr>
  </w:style>
  <w:style w:type="character" w:styleId="5">
    <w:name w:val="Неразрешенное упоминание5"/>
    <w:qFormat/>
    <w:rPr>
      <w:color w:val="605E5C"/>
      <w:shd w:fill="E1DFDD" w:val="clear"/>
    </w:rPr>
  </w:style>
  <w:style w:type="character" w:styleId="Style25">
    <w:name w:val="Line Number"/>
    <w:rPr/>
  </w:style>
  <w:style w:type="character" w:styleId="Style26">
    <w:name w:val="Символ концевой сноски"/>
    <w:qFormat/>
    <w:rPr>
      <w:vertAlign w:val="superscript"/>
    </w:rPr>
  </w:style>
  <w:style w:type="character" w:styleId="15">
    <w:name w:val="Знак концевой сноски1"/>
    <w:qFormat/>
    <w:rPr>
      <w:vertAlign w:val="superscript"/>
    </w:rPr>
  </w:style>
  <w:style w:type="character" w:styleId="Style27">
    <w:name w:val="Неразрешенное упоминание"/>
    <w:qFormat/>
    <w:rPr>
      <w:color w:val="605E5C"/>
      <w:shd w:fill="E1DFDD" w:val="clear"/>
    </w:rPr>
  </w:style>
  <w:style w:type="character" w:styleId="Style28">
    <w:name w:val="Знак сноски"/>
    <w:qFormat/>
    <w:rPr>
      <w:vertAlign w:val="superscript"/>
    </w:rPr>
  </w:style>
  <w:style w:type="character" w:styleId="Style29">
    <w:name w:val="Знак концевой сноски"/>
    <w:qFormat/>
    <w:rPr>
      <w:vertAlign w:val="superscript"/>
    </w:rPr>
  </w:style>
  <w:style w:type="character" w:styleId="Style30">
    <w:name w:val="Footnote Reference"/>
    <w:rPr>
      <w:vertAlign w:val="superscript"/>
    </w:rPr>
  </w:style>
  <w:style w:type="character" w:styleId="Style31">
    <w:name w:val="Endnote Reference"/>
    <w:rPr>
      <w:vertAlign w:val="superscript"/>
    </w:rPr>
  </w:style>
  <w:style w:type="paragraph" w:styleId="Style32">
    <w:name w:val="Заголовок"/>
    <w:basedOn w:val="Normal"/>
    <w:next w:val="Style33"/>
    <w:qFormat/>
    <w:pPr>
      <w:keepNext w:val="true"/>
      <w:spacing w:before="240" w:after="120"/>
    </w:pPr>
    <w:rPr>
      <w:rFonts w:ascii="Liberation Sans;Arial" w:hAnsi="Liberation Sans;Arial" w:eastAsia="Microsoft YaHei" w:cs="Lucida Sans"/>
      <w:sz w:val="28"/>
      <w:szCs w:val="28"/>
    </w:rPr>
  </w:style>
  <w:style w:type="paragraph" w:styleId="Style33">
    <w:name w:val="Body Text"/>
    <w:basedOn w:val="Normal"/>
    <w:pPr>
      <w:spacing w:lineRule="auto" w:line="276" w:before="0" w:after="140"/>
    </w:pPr>
    <w:rPr/>
  </w:style>
  <w:style w:type="paragraph" w:styleId="Style34">
    <w:name w:val="List"/>
    <w:basedOn w:val="Style33"/>
    <w:pPr/>
    <w:rPr>
      <w:rFonts w:cs="Lucida Sans"/>
    </w:rPr>
  </w:style>
  <w:style w:type="paragraph" w:styleId="Style35">
    <w:name w:val="Caption"/>
    <w:basedOn w:val="Normal"/>
    <w:qFormat/>
    <w:pPr>
      <w:suppressLineNumbers/>
      <w:spacing w:before="120" w:after="120"/>
    </w:pPr>
    <w:rPr>
      <w:rFonts w:cs="Lucida Sans"/>
      <w:i/>
      <w:iCs/>
      <w:sz w:val="24"/>
      <w:szCs w:val="24"/>
    </w:rPr>
  </w:style>
  <w:style w:type="paragraph" w:styleId="Style36">
    <w:name w:val="Указатель"/>
    <w:basedOn w:val="Normal"/>
    <w:qFormat/>
    <w:pPr>
      <w:suppressLineNumbers/>
    </w:pPr>
    <w:rPr>
      <w:rFonts w:cs="Lucida Sans"/>
    </w:rPr>
  </w:style>
  <w:style w:type="paragraph" w:styleId="Style37">
    <w:name w:val="Название объекта"/>
    <w:basedOn w:val="Normal"/>
    <w:qFormat/>
    <w:pPr>
      <w:suppressLineNumbers/>
      <w:spacing w:before="120" w:after="120"/>
    </w:pPr>
    <w:rPr>
      <w:rFonts w:cs="Lucida Sans"/>
      <w:i/>
      <w:iCs/>
      <w:sz w:val="24"/>
      <w:szCs w:val="24"/>
    </w:rPr>
  </w:style>
  <w:style w:type="paragraph" w:styleId="16">
    <w:name w:val="Указатель1"/>
    <w:basedOn w:val="Normal"/>
    <w:qFormat/>
    <w:pPr>
      <w:suppressLineNumbers/>
    </w:pPr>
    <w:rPr>
      <w:rFonts w:cs="Lucida Sans"/>
    </w:rPr>
  </w:style>
  <w:style w:type="paragraph" w:styleId="17">
    <w:name w:val="Название объекта1"/>
    <w:basedOn w:val="Normal"/>
    <w:qFormat/>
    <w:pPr>
      <w:suppressLineNumbers/>
      <w:spacing w:before="120" w:after="120"/>
    </w:pPr>
    <w:rPr>
      <w:rFonts w:cs="Lucida Sans"/>
      <w:i/>
      <w:iCs/>
    </w:rPr>
  </w:style>
  <w:style w:type="paragraph" w:styleId="Style38">
    <w:name w:val="Index Heading"/>
    <w:basedOn w:val="Normal"/>
    <w:pPr>
      <w:suppressLineNumbers/>
    </w:pPr>
    <w:rPr>
      <w:rFonts w:cs="Lucida Sans"/>
    </w:rPr>
  </w:style>
  <w:style w:type="paragraph" w:styleId="33">
    <w:name w:val="Основной текст (3)"/>
    <w:basedOn w:val="Normal"/>
    <w:qFormat/>
    <w:pPr>
      <w:shd w:fill="FFFFFF" w:val="clear"/>
      <w:spacing w:lineRule="atLeast" w:line="0" w:before="0" w:after="360"/>
      <w:jc w:val="both"/>
    </w:pPr>
    <w:rPr>
      <w:rFonts w:ascii="Times New Roman" w:hAnsi="Times New Roman" w:eastAsia="Times New Roman" w:cs="Times New Roman"/>
      <w:b/>
      <w:bCs/>
    </w:rPr>
  </w:style>
  <w:style w:type="paragraph" w:styleId="22">
    <w:name w:val="Основной текст (2)"/>
    <w:basedOn w:val="Normal"/>
    <w:qFormat/>
    <w:pPr>
      <w:shd w:fill="FFFFFF" w:val="clear"/>
      <w:spacing w:lineRule="atLeast" w:line="0" w:before="360" w:after="360"/>
      <w:ind w:left="0" w:right="0" w:hanging="340"/>
      <w:jc w:val="both"/>
    </w:pPr>
    <w:rPr>
      <w:rFonts w:ascii="Times New Roman" w:hAnsi="Times New Roman" w:eastAsia="Times New Roman" w:cs="Times New Roman"/>
    </w:rPr>
  </w:style>
  <w:style w:type="paragraph" w:styleId="18">
    <w:name w:val="Колонтитул1"/>
    <w:basedOn w:val="Normal"/>
    <w:qFormat/>
    <w:pPr>
      <w:shd w:fill="FFFFFF" w:val="clear"/>
      <w:spacing w:lineRule="atLeast" w:line="0"/>
    </w:pPr>
    <w:rPr>
      <w:rFonts w:ascii="Times New Roman" w:hAnsi="Times New Roman" w:eastAsia="Times New Roman" w:cs="Times New Roman"/>
      <w:b/>
      <w:bCs/>
      <w:spacing w:val="10"/>
      <w:sz w:val="22"/>
      <w:szCs w:val="22"/>
    </w:rPr>
  </w:style>
  <w:style w:type="paragraph" w:styleId="19">
    <w:name w:val="Заголовок №1"/>
    <w:basedOn w:val="Normal"/>
    <w:qFormat/>
    <w:pPr>
      <w:shd w:fill="FFFFFF" w:val="clear"/>
      <w:spacing w:lineRule="atLeast" w:line="0" w:before="240" w:after="60"/>
      <w:jc w:val="both"/>
      <w:outlineLvl w:val="0"/>
    </w:pPr>
    <w:rPr>
      <w:rFonts w:ascii="Times New Roman" w:hAnsi="Times New Roman" w:eastAsia="Times New Roman" w:cs="Times New Roman"/>
      <w:b/>
      <w:bCs/>
    </w:rPr>
  </w:style>
  <w:style w:type="paragraph" w:styleId="42">
    <w:name w:val="Основной текст (4)"/>
    <w:basedOn w:val="Normal"/>
    <w:qFormat/>
    <w:pPr>
      <w:shd w:fill="FFFFFF" w:val="clear"/>
      <w:spacing w:lineRule="atLeast" w:line="0" w:before="480" w:after="360"/>
      <w:jc w:val="right"/>
    </w:pPr>
    <w:rPr>
      <w:rFonts w:ascii="Times New Roman" w:hAnsi="Times New Roman" w:eastAsia="Times New Roman" w:cs="Times New Roman"/>
      <w:i/>
      <w:iCs/>
    </w:rPr>
  </w:style>
  <w:style w:type="paragraph" w:styleId="Style39">
    <w:name w:val="Колонтитул"/>
    <w:basedOn w:val="Normal"/>
    <w:qFormat/>
    <w:pPr>
      <w:suppressLineNumbers/>
      <w:tabs>
        <w:tab w:val="clear" w:pos="708"/>
        <w:tab w:val="center" w:pos="4819" w:leader="none"/>
        <w:tab w:val="right" w:pos="9638" w:leader="none"/>
      </w:tabs>
    </w:pPr>
    <w:rPr/>
  </w:style>
  <w:style w:type="paragraph" w:styleId="Style40">
    <w:name w:val="Header"/>
    <w:basedOn w:val="Normal"/>
    <w:pPr/>
    <w:rPr/>
  </w:style>
  <w:style w:type="paragraph" w:styleId="Style41">
    <w:name w:val="Footer"/>
    <w:basedOn w:val="Normal"/>
    <w:pPr/>
    <w:rPr/>
  </w:style>
  <w:style w:type="paragraph" w:styleId="110">
    <w:name w:val="Текст примечания1"/>
    <w:basedOn w:val="Normal"/>
    <w:qFormat/>
    <w:pPr/>
    <w:rPr>
      <w:sz w:val="20"/>
      <w:szCs w:val="20"/>
    </w:rPr>
  </w:style>
  <w:style w:type="paragraph" w:styleId="Style42">
    <w:name w:val="Тема примечания"/>
    <w:basedOn w:val="110"/>
    <w:next w:val="110"/>
    <w:qFormat/>
    <w:pPr/>
    <w:rPr>
      <w:b/>
      <w:bCs/>
    </w:rPr>
  </w:style>
  <w:style w:type="paragraph" w:styleId="Style43">
    <w:name w:val="Текст выноски"/>
    <w:basedOn w:val="Normal"/>
    <w:qFormat/>
    <w:pPr/>
    <w:rPr>
      <w:rFonts w:ascii="Segoe UI" w:hAnsi="Segoe UI" w:cs="Segoe UI"/>
      <w:sz w:val="18"/>
      <w:szCs w:val="18"/>
    </w:rPr>
  </w:style>
  <w:style w:type="paragraph" w:styleId="Style44">
    <w:name w:val="Абзац списка"/>
    <w:basedOn w:val="Normal"/>
    <w:qFormat/>
    <w:pPr>
      <w:spacing w:before="0" w:after="0"/>
      <w:ind w:left="720" w:right="0" w:hanging="0"/>
      <w:contextualSpacing/>
    </w:pPr>
    <w:rPr/>
  </w:style>
  <w:style w:type="paragraph" w:styleId="Style45">
    <w:name w:val="Рецензия"/>
    <w:qFormat/>
    <w:pPr>
      <w:widowControl/>
      <w:suppressAutoHyphens w:val="true"/>
      <w:bidi w:val="0"/>
    </w:pPr>
    <w:rPr>
      <w:rFonts w:ascii="Arial Unicode MS" w:hAnsi="Arial Unicode MS" w:eastAsia="Arial Unicode MS" w:cs="Arial Unicode MS"/>
      <w:color w:val="000000"/>
      <w:sz w:val="24"/>
      <w:szCs w:val="24"/>
      <w:lang w:val="ru-RU" w:eastAsia="zh-CN" w:bidi="ru-RU"/>
    </w:rPr>
  </w:style>
  <w:style w:type="paragraph" w:styleId="Style46">
    <w:name w:val="Обычный (Интернет)"/>
    <w:basedOn w:val="Normal"/>
    <w:qFormat/>
    <w:pPr>
      <w:widowControl/>
      <w:spacing w:before="280" w:after="280"/>
    </w:pPr>
    <w:rPr>
      <w:rFonts w:ascii="Times New Roman" w:hAnsi="Times New Roman" w:eastAsia="Times New Roman" w:cs="Times New Roman"/>
      <w:color w:val="000000"/>
      <w:lang w:bidi="ar-SA"/>
    </w:rPr>
  </w:style>
  <w:style w:type="paragraph" w:styleId="Style47">
    <w:name w:val="Footnote Text"/>
    <w:basedOn w:val="Normal"/>
    <w:pPr/>
    <w:rPr>
      <w:sz w:val="20"/>
      <w:szCs w:val="20"/>
    </w:rPr>
  </w:style>
  <w:style w:type="paragraph" w:styleId="-11">
    <w:name w:val="Цветной список - Акцент 11"/>
    <w:basedOn w:val="Normal"/>
    <w:qFormat/>
    <w:pPr>
      <w:spacing w:before="0" w:after="0"/>
      <w:ind w:left="720" w:right="0" w:hanging="0"/>
      <w:contextualSpacing/>
    </w:pPr>
    <w:rPr>
      <w:sz w:val="28"/>
    </w:rPr>
  </w:style>
  <w:style w:type="paragraph" w:styleId="Style48">
    <w:name w:val="Содержимое таблицы"/>
    <w:basedOn w:val="Normal"/>
    <w:qFormat/>
    <w:pPr>
      <w:suppressLineNumbers/>
    </w:pPr>
    <w:rPr/>
  </w:style>
  <w:style w:type="paragraph" w:styleId="Style49">
    <w:name w:val="Заголовок таблицы"/>
    <w:basedOn w:val="Style48"/>
    <w:qFormat/>
    <w:pPr>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header" Target="header4.xml"/><Relationship Id="rId8" Type="http://schemas.openxmlformats.org/officeDocument/2006/relationships/footer" Target="footer3.xml"/><Relationship Id="rId9" Type="http://schemas.openxmlformats.org/officeDocument/2006/relationships/footer" Target="footer4.xml"/><Relationship Id="rId10" Type="http://schemas.openxmlformats.org/officeDocument/2006/relationships/footnotes" Target="footnotes.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Normal_x0000_</Template>
  <TotalTime>5</TotalTime>
  <Application>LibreOffice/7.5.5.2$Windows_X86_64 LibreOffice_project/ca8fe7424262805f223b9a2334bc7181abbcbf5e</Application>
  <AppVersion>15.0000</AppVersion>
  <Pages>15</Pages>
  <Words>3600</Words>
  <Characters>26809</Characters>
  <CharactersWithSpaces>30383</CharactersWithSpaces>
  <Paragraphs>179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2025-08-21T15:31:00Z</dcterms:created>
  <dc:creator>epk_local</dc:creator>
  <dc:description/>
  <dc:language>ru-RU</dc:language>
  <cp:lastModifiedBy/>
  <cp:lastPrinted>2025-08-07T16:15:00Z</cp:lastPrinted>
  <dcterms:modified xsi:type="dcterms:W3CDTF">2025-09-08T10:18:17Z</dcterms:modified>
  <cp:revision>5</cp:revision>
  <dc:subject/>
  <dc:title/>
</cp:coreProperties>
</file>